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E3231" w14:textId="676EF0B2" w:rsidR="00936910" w:rsidRPr="00B314C7" w:rsidRDefault="00936910" w:rsidP="00936910">
      <w:pPr>
        <w:pStyle w:val="Titre1"/>
        <w:numPr>
          <w:ilvl w:val="0"/>
          <w:numId w:val="0"/>
        </w:numPr>
        <w:spacing w:before="0"/>
        <w:ind w:left="360" w:hanging="360"/>
        <w:rPr>
          <w:b/>
          <w:sz w:val="28"/>
          <w:szCs w:val="28"/>
          <w:lang w:val="fr-BE"/>
        </w:rPr>
      </w:pPr>
      <w:bookmarkStart w:id="0" w:name="_Toc22721774"/>
      <w:r w:rsidRPr="00B314C7">
        <w:rPr>
          <w:b/>
          <w:sz w:val="28"/>
          <w:szCs w:val="28"/>
          <w:lang w:val="fr-BE"/>
        </w:rPr>
        <w:t>Electricien : risques et prévention des risques</w:t>
      </w:r>
      <w:bookmarkEnd w:id="0"/>
      <w:r w:rsidRPr="00B314C7">
        <w:rPr>
          <w:b/>
          <w:sz w:val="28"/>
          <w:szCs w:val="28"/>
          <w:lang w:val="fr-BE"/>
        </w:rPr>
        <w:t xml:space="preserve"> </w:t>
      </w:r>
    </w:p>
    <w:p w14:paraId="327850A0" w14:textId="77777777" w:rsidR="00936910" w:rsidRPr="00176FA1" w:rsidRDefault="00936910" w:rsidP="00936910">
      <w:pPr>
        <w:pStyle w:val="Paragraphedeliste"/>
        <w:numPr>
          <w:ilvl w:val="0"/>
          <w:numId w:val="2"/>
        </w:numPr>
        <w:contextualSpacing w:val="0"/>
        <w:rPr>
          <w:vanish/>
          <w:lang w:val="fr-BE"/>
        </w:rPr>
      </w:pPr>
    </w:p>
    <w:p w14:paraId="4CB9E743" w14:textId="7AD53B18" w:rsidR="00936910" w:rsidRPr="00176FA1" w:rsidRDefault="00936910" w:rsidP="00936910">
      <w:pPr>
        <w:pStyle w:val="Titre2"/>
        <w:numPr>
          <w:ilvl w:val="0"/>
          <w:numId w:val="0"/>
        </w:numPr>
        <w:spacing w:before="0" w:after="240"/>
        <w:ind w:left="576" w:hanging="576"/>
        <w:rPr>
          <w:lang w:val="fr-BE"/>
        </w:rPr>
      </w:pPr>
    </w:p>
    <w:tbl>
      <w:tblPr>
        <w:tblStyle w:val="Grilledutableau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2268"/>
        <w:gridCol w:w="1418"/>
        <w:gridCol w:w="4677"/>
        <w:gridCol w:w="1418"/>
        <w:gridCol w:w="1984"/>
      </w:tblGrid>
      <w:tr w:rsidR="00936910" w:rsidRPr="00176FA1" w14:paraId="2D791800" w14:textId="77777777" w:rsidTr="00936910">
        <w:tc>
          <w:tcPr>
            <w:tcW w:w="14737" w:type="dxa"/>
            <w:gridSpan w:val="6"/>
            <w:shd w:val="clear" w:color="auto" w:fill="D9E2F3" w:themeFill="accent1" w:themeFillTint="33"/>
          </w:tcPr>
          <w:p w14:paraId="12E9C6B7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bookmarkStart w:id="1" w:name="_Hlk3452121"/>
            <w:r w:rsidRPr="00176FA1">
              <w:rPr>
                <w:b/>
                <w:lang w:val="fr-BE"/>
              </w:rPr>
              <w:t>Général</w:t>
            </w:r>
          </w:p>
        </w:tc>
      </w:tr>
      <w:tr w:rsidR="00936910" w:rsidRPr="00176FA1" w14:paraId="7553E9A5" w14:textId="77777777" w:rsidTr="00936910">
        <w:tc>
          <w:tcPr>
            <w:tcW w:w="2972" w:type="dxa"/>
          </w:tcPr>
          <w:p w14:paraId="199A7059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DANGER</w:t>
            </w:r>
          </w:p>
        </w:tc>
        <w:tc>
          <w:tcPr>
            <w:tcW w:w="2268" w:type="dxa"/>
          </w:tcPr>
          <w:p w14:paraId="54D4D096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RISQUE</w:t>
            </w:r>
          </w:p>
        </w:tc>
        <w:tc>
          <w:tcPr>
            <w:tcW w:w="1418" w:type="dxa"/>
          </w:tcPr>
          <w:p w14:paraId="0352E48F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 xml:space="preserve">ÉVALUATION DU RISQUE </w:t>
            </w:r>
          </w:p>
        </w:tc>
        <w:tc>
          <w:tcPr>
            <w:tcW w:w="4677" w:type="dxa"/>
          </w:tcPr>
          <w:p w14:paraId="1E17022A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MESURE DE PRÉVENTION</w:t>
            </w:r>
          </w:p>
        </w:tc>
        <w:tc>
          <w:tcPr>
            <w:tcW w:w="1418" w:type="dxa"/>
          </w:tcPr>
          <w:p w14:paraId="73BAD249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ÉVALUATION DU RISQUE RÉSIDUEL</w:t>
            </w:r>
          </w:p>
        </w:tc>
        <w:tc>
          <w:tcPr>
            <w:tcW w:w="1984" w:type="dxa"/>
          </w:tcPr>
          <w:p w14:paraId="612220DF" w14:textId="77777777" w:rsidR="00936910" w:rsidRPr="00176FA1" w:rsidRDefault="00936910" w:rsidP="004B4A5C">
            <w:pPr>
              <w:jc w:val="both"/>
              <w:rPr>
                <w:b/>
                <w:lang w:val="fr-BE"/>
              </w:rPr>
            </w:pPr>
            <w:r w:rsidRPr="00176FA1">
              <w:rPr>
                <w:b/>
                <w:lang w:val="fr-BE"/>
              </w:rPr>
              <w:t>REMARQUES</w:t>
            </w:r>
          </w:p>
        </w:tc>
      </w:tr>
      <w:tr w:rsidR="00936910" w:rsidRPr="00176FA1" w14:paraId="2CEFA3CF" w14:textId="77777777" w:rsidTr="00936910">
        <w:tc>
          <w:tcPr>
            <w:tcW w:w="2972" w:type="dxa"/>
          </w:tcPr>
          <w:p w14:paraId="2F374897" w14:textId="77777777" w:rsidR="00936910" w:rsidRPr="00176FA1" w:rsidRDefault="00936910" w:rsidP="004B4A5C">
            <w:p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Expérience et/ou connaissances insuffisants</w:t>
            </w:r>
          </w:p>
        </w:tc>
        <w:tc>
          <w:tcPr>
            <w:tcW w:w="2268" w:type="dxa"/>
          </w:tcPr>
          <w:p w14:paraId="76E8A730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Électrocution</w:t>
            </w:r>
          </w:p>
          <w:p w14:paraId="5662D093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Brûlures </w:t>
            </w:r>
          </w:p>
        </w:tc>
        <w:tc>
          <w:tcPr>
            <w:tcW w:w="1418" w:type="dxa"/>
          </w:tcPr>
          <w:p w14:paraId="27E88639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1E7204FD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Faire organiser une interview questionnant en profondeur les connaissances et l’expérience de l’intérimaire par l’agence d’intérim. </w:t>
            </w:r>
          </w:p>
          <w:p w14:paraId="17360DF1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Prévoir un accueil et un suivi de l’intérimaire chez l’utilisateur.</w:t>
            </w:r>
          </w:p>
          <w:p w14:paraId="0FC19A97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Transmettre les instructions et des procédures de sécurité à l’intérimaire.</w:t>
            </w:r>
          </w:p>
          <w:p w14:paraId="115443A3" w14:textId="4B5B53CA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Prévoir une formation complémentaire, si d’application</w:t>
            </w:r>
            <w:r w:rsidRPr="00176FA1">
              <w:rPr>
                <w:bCs/>
                <w:i/>
                <w:iCs/>
                <w:lang w:val="fr-BE"/>
              </w:rPr>
              <w:t>.</w:t>
            </w:r>
            <w:r w:rsidRPr="00176FA1">
              <w:rPr>
                <w:bCs/>
                <w:lang w:val="fr-BE"/>
              </w:rPr>
              <w:t xml:space="preserve"> </w:t>
            </w:r>
          </w:p>
          <w:p w14:paraId="68B38134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4970A28C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0118BBF7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350BD4CF" w14:textId="77777777" w:rsidTr="00936910">
        <w:tc>
          <w:tcPr>
            <w:tcW w:w="2972" w:type="dxa"/>
          </w:tcPr>
          <w:p w14:paraId="006C1512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Manque d’entretien et/ou de contrôle des équipements électriques </w:t>
            </w:r>
          </w:p>
        </w:tc>
        <w:tc>
          <w:tcPr>
            <w:tcW w:w="2268" w:type="dxa"/>
          </w:tcPr>
          <w:p w14:paraId="4D70FC7D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Électrocution </w:t>
            </w:r>
          </w:p>
          <w:p w14:paraId="0293184D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Brûlures </w:t>
            </w:r>
          </w:p>
          <w:p w14:paraId="6017F0E0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Court-circuit </w:t>
            </w:r>
          </w:p>
        </w:tc>
        <w:tc>
          <w:tcPr>
            <w:tcW w:w="1418" w:type="dxa"/>
          </w:tcPr>
          <w:p w14:paraId="1180B658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11E006D8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Faire contrôler annuellement les outils électriques par une personne compétente externe.   </w:t>
            </w:r>
          </w:p>
          <w:p w14:paraId="5A733AC6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Instaurer le contrôle visuel systématique des outils électriques avant usage. </w:t>
            </w:r>
          </w:p>
          <w:p w14:paraId="11A2A183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271AE16D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D46ED56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1A6606C9" w14:textId="77777777" w:rsidTr="00936910">
        <w:tc>
          <w:tcPr>
            <w:tcW w:w="2972" w:type="dxa"/>
          </w:tcPr>
          <w:p w14:paraId="21EFD780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Désordre sur le lieu de travail</w:t>
            </w:r>
          </w:p>
          <w:p w14:paraId="092B1C39" w14:textId="77777777" w:rsidR="00936910" w:rsidRPr="00176FA1" w:rsidRDefault="00936910" w:rsidP="00936910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Matériel qui traîne</w:t>
            </w:r>
          </w:p>
          <w:p w14:paraId="55E67E90" w14:textId="77777777" w:rsidR="00936910" w:rsidRPr="00176FA1" w:rsidRDefault="00936910" w:rsidP="00936910">
            <w:pPr>
              <w:pStyle w:val="Paragraphedeliste"/>
              <w:numPr>
                <w:ilvl w:val="0"/>
                <w:numId w:val="5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Câbles/marchandises dans les passages </w:t>
            </w:r>
          </w:p>
        </w:tc>
        <w:tc>
          <w:tcPr>
            <w:tcW w:w="2268" w:type="dxa"/>
          </w:tcPr>
          <w:p w14:paraId="06923B93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Dommages aux câbles</w:t>
            </w:r>
          </w:p>
          <w:p w14:paraId="3304210A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Chutes </w:t>
            </w:r>
          </w:p>
          <w:p w14:paraId="40743DAC" w14:textId="77777777" w:rsidR="00936910" w:rsidRPr="00176FA1" w:rsidRDefault="00936910" w:rsidP="00936910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Trébuchements </w:t>
            </w:r>
          </w:p>
        </w:tc>
        <w:tc>
          <w:tcPr>
            <w:tcW w:w="1418" w:type="dxa"/>
          </w:tcPr>
          <w:p w14:paraId="466EBC70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213FDD12" w14:textId="0DE8E84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Porter des vêtements adaptés</w:t>
            </w:r>
            <w:r w:rsidR="00E85D8D">
              <w:rPr>
                <w:bCs/>
                <w:lang w:val="fr-BE"/>
              </w:rPr>
              <w:t> :</w:t>
            </w:r>
            <w:r w:rsidRPr="00176FA1">
              <w:rPr>
                <w:bCs/>
                <w:lang w:val="fr-BE"/>
              </w:rPr>
              <w:t xml:space="preserve"> des chaussures de sécurité avec des semelles antidérapantes. </w:t>
            </w:r>
          </w:p>
          <w:p w14:paraId="2A10C0D9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Garder les issues de secours et voies d’évacuation libres. </w:t>
            </w:r>
          </w:p>
          <w:p w14:paraId="5031D91D" w14:textId="77777777" w:rsidR="00936910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Veiller à ce que le lieu de travail reste en ordre (procédures de rangement) et (faire) </w:t>
            </w:r>
            <w:r w:rsidRPr="00176FA1">
              <w:rPr>
                <w:bCs/>
                <w:lang w:val="fr-BE"/>
              </w:rPr>
              <w:lastRenderedPageBreak/>
              <w:t>déplacer immédiatement le matériel stocké dans les endroits inappropriés</w:t>
            </w:r>
            <w:r w:rsidR="00A6420B">
              <w:rPr>
                <w:bCs/>
                <w:lang w:val="fr-BE"/>
              </w:rPr>
              <w:t>.</w:t>
            </w:r>
          </w:p>
          <w:p w14:paraId="5FC31F58" w14:textId="32891686" w:rsidR="00A6420B" w:rsidRPr="00176FA1" w:rsidRDefault="00A6420B" w:rsidP="00A6420B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5B965CFE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327A56F0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25DADB09" w14:textId="77777777" w:rsidTr="00936910">
        <w:tc>
          <w:tcPr>
            <w:tcW w:w="2972" w:type="dxa"/>
          </w:tcPr>
          <w:p w14:paraId="571F1F7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Posture contraignante </w:t>
            </w:r>
          </w:p>
        </w:tc>
        <w:tc>
          <w:tcPr>
            <w:tcW w:w="2268" w:type="dxa"/>
          </w:tcPr>
          <w:p w14:paraId="60060465" w14:textId="77777777" w:rsidR="00936910" w:rsidRPr="00176FA1" w:rsidRDefault="00936910" w:rsidP="00936910">
            <w:pPr>
              <w:pStyle w:val="Paragraphedeliste"/>
              <w:numPr>
                <w:ilvl w:val="0"/>
                <w:numId w:val="6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Troubles musculosquelettiques</w:t>
            </w:r>
          </w:p>
          <w:p w14:paraId="61E3886E" w14:textId="77777777" w:rsidR="00936910" w:rsidRPr="00176FA1" w:rsidRDefault="00936910" w:rsidP="00936910">
            <w:pPr>
              <w:pStyle w:val="Paragraphedeliste"/>
              <w:numPr>
                <w:ilvl w:val="0"/>
                <w:numId w:val="6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Maux de dos </w:t>
            </w:r>
          </w:p>
        </w:tc>
        <w:tc>
          <w:tcPr>
            <w:tcW w:w="1418" w:type="dxa"/>
          </w:tcPr>
          <w:p w14:paraId="70F5D9D2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22B242C7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Limiter le temps d’exposition aux endroits difficiles d’accès et alterner le poste avec des collègues.</w:t>
            </w:r>
          </w:p>
          <w:p w14:paraId="2BB89EF1" w14:textId="77777777" w:rsidR="00936910" w:rsidRPr="00176FA1" w:rsidRDefault="00936910" w:rsidP="00E85D8D">
            <w:pPr>
              <w:pStyle w:val="Paragraphedeliste"/>
              <w:numPr>
                <w:ilvl w:val="0"/>
                <w:numId w:val="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Encourager la prise de bonnes positions de travail par le biais de la formation et de la sensibilisation (outils d’information, affiches, etc.). </w:t>
            </w:r>
          </w:p>
          <w:p w14:paraId="64B64470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3F6C621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3BFAF6CD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08CD4BF0" w14:textId="77777777" w:rsidTr="00936910">
        <w:tc>
          <w:tcPr>
            <w:tcW w:w="2972" w:type="dxa"/>
          </w:tcPr>
          <w:p w14:paraId="5811A376" w14:textId="77777777" w:rsidR="00936910" w:rsidRPr="00176FA1" w:rsidRDefault="00936910" w:rsidP="004B4A5C">
            <w:p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Environnement de travail humide </w:t>
            </w:r>
          </w:p>
        </w:tc>
        <w:tc>
          <w:tcPr>
            <w:tcW w:w="2268" w:type="dxa"/>
          </w:tcPr>
          <w:p w14:paraId="37B8D2BD" w14:textId="77777777" w:rsidR="00936910" w:rsidRPr="00176FA1" w:rsidRDefault="00936910" w:rsidP="00936910">
            <w:pPr>
              <w:pStyle w:val="Paragraphedeliste"/>
              <w:numPr>
                <w:ilvl w:val="0"/>
                <w:numId w:val="3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Électrocution</w:t>
            </w:r>
          </w:p>
        </w:tc>
        <w:tc>
          <w:tcPr>
            <w:tcW w:w="1418" w:type="dxa"/>
          </w:tcPr>
          <w:p w14:paraId="48797394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7653C336" w14:textId="2362FD7C" w:rsidR="00936910" w:rsidRPr="00176FA1" w:rsidRDefault="00936910" w:rsidP="00E85D8D">
            <w:pPr>
              <w:pStyle w:val="Paragraphedeliste"/>
              <w:numPr>
                <w:ilvl w:val="0"/>
                <w:numId w:val="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Prévoir des outils fonctionnant sur accu (moins dangereux)</w:t>
            </w:r>
            <w:r w:rsidR="00A6420B">
              <w:rPr>
                <w:bCs/>
                <w:lang w:val="fr-BE"/>
              </w:rPr>
              <w:t>.</w:t>
            </w:r>
          </w:p>
          <w:p w14:paraId="0674F5A4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50005457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37B07D8D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51C5B181" w14:textId="77777777" w:rsidTr="00936910">
        <w:tc>
          <w:tcPr>
            <w:tcW w:w="2972" w:type="dxa"/>
          </w:tcPr>
          <w:p w14:paraId="46E6F52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Chute d’objets </w:t>
            </w:r>
          </w:p>
        </w:tc>
        <w:tc>
          <w:tcPr>
            <w:tcW w:w="2268" w:type="dxa"/>
          </w:tcPr>
          <w:p w14:paraId="2556BCA5" w14:textId="77777777" w:rsidR="00936910" w:rsidRPr="00176FA1" w:rsidRDefault="00936910" w:rsidP="00936910">
            <w:pPr>
              <w:pStyle w:val="Paragraphedeliste"/>
              <w:numPr>
                <w:ilvl w:val="0"/>
                <w:numId w:val="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Blessures corporelles </w:t>
            </w:r>
          </w:p>
          <w:p w14:paraId="0B8FCEA0" w14:textId="77777777" w:rsidR="00936910" w:rsidRPr="00176FA1" w:rsidRDefault="00936910" w:rsidP="00936910">
            <w:pPr>
              <w:pStyle w:val="Paragraphedeliste"/>
              <w:numPr>
                <w:ilvl w:val="0"/>
                <w:numId w:val="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Coincement </w:t>
            </w:r>
          </w:p>
          <w:p w14:paraId="26F68AF2" w14:textId="77777777" w:rsidR="00936910" w:rsidRPr="00176FA1" w:rsidRDefault="00936910" w:rsidP="00936910">
            <w:pPr>
              <w:pStyle w:val="Paragraphedeliste"/>
              <w:numPr>
                <w:ilvl w:val="0"/>
                <w:numId w:val="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Fracture </w:t>
            </w:r>
          </w:p>
        </w:tc>
        <w:tc>
          <w:tcPr>
            <w:tcW w:w="1418" w:type="dxa"/>
          </w:tcPr>
          <w:p w14:paraId="5B3D2FF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55651C12" w14:textId="77777777" w:rsidR="00936910" w:rsidRPr="00176FA1" w:rsidRDefault="00936910" w:rsidP="00E85D8D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Prévoir une délimitation claire des zones de travail.</w:t>
            </w:r>
          </w:p>
          <w:p w14:paraId="22F2D17B" w14:textId="77777777" w:rsidR="00936910" w:rsidRPr="00176FA1" w:rsidRDefault="00936910" w:rsidP="00E85D8D">
            <w:pPr>
              <w:pStyle w:val="Paragraphedeliste"/>
              <w:numPr>
                <w:ilvl w:val="0"/>
                <w:numId w:val="7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Porter de vêtements de travail adapté et port du casque et des chaussures de sécurité.</w:t>
            </w:r>
          </w:p>
          <w:p w14:paraId="585B2796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 </w:t>
            </w:r>
          </w:p>
        </w:tc>
        <w:tc>
          <w:tcPr>
            <w:tcW w:w="1418" w:type="dxa"/>
          </w:tcPr>
          <w:p w14:paraId="3C0A7F68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79C6916B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6AD77260" w14:textId="77777777" w:rsidTr="00936910">
        <w:tc>
          <w:tcPr>
            <w:tcW w:w="2972" w:type="dxa"/>
          </w:tcPr>
          <w:p w14:paraId="2837709D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Exposition au bruit</w:t>
            </w:r>
          </w:p>
        </w:tc>
        <w:tc>
          <w:tcPr>
            <w:tcW w:w="2268" w:type="dxa"/>
          </w:tcPr>
          <w:p w14:paraId="71E80D33" w14:textId="77777777" w:rsidR="00936910" w:rsidRPr="00176FA1" w:rsidRDefault="00936910" w:rsidP="00936910">
            <w:pPr>
              <w:pStyle w:val="Paragraphedeliste"/>
              <w:numPr>
                <w:ilvl w:val="0"/>
                <w:numId w:val="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Pertes auditives temporaires ou permanentes</w:t>
            </w:r>
          </w:p>
          <w:p w14:paraId="6E4F5962" w14:textId="77777777" w:rsidR="00936910" w:rsidRPr="00176FA1" w:rsidRDefault="00936910" w:rsidP="00936910">
            <w:pPr>
              <w:pStyle w:val="Paragraphedeliste"/>
              <w:numPr>
                <w:ilvl w:val="0"/>
                <w:numId w:val="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Acouphènes</w:t>
            </w:r>
          </w:p>
          <w:p w14:paraId="7524E82E" w14:textId="77777777" w:rsidR="00936910" w:rsidRPr="00176FA1" w:rsidRDefault="00936910" w:rsidP="00936910">
            <w:pPr>
              <w:pStyle w:val="Paragraphedeliste"/>
              <w:numPr>
                <w:ilvl w:val="0"/>
                <w:numId w:val="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Stress </w:t>
            </w:r>
          </w:p>
        </w:tc>
        <w:tc>
          <w:tcPr>
            <w:tcW w:w="1418" w:type="dxa"/>
          </w:tcPr>
          <w:p w14:paraId="23EC15FD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33144654" w14:textId="77777777" w:rsidR="00936910" w:rsidRPr="00176FA1" w:rsidRDefault="00936910" w:rsidP="00E85D8D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Porter des protections auditives, bouchons d’oreilles ou coquilles :</w:t>
            </w:r>
          </w:p>
          <w:p w14:paraId="2BDADFEE" w14:textId="77777777" w:rsidR="00936910" w:rsidRPr="00176FA1" w:rsidRDefault="00936910" w:rsidP="00E85D8D">
            <w:pPr>
              <w:pStyle w:val="Paragraphedeliste"/>
              <w:numPr>
                <w:ilvl w:val="1"/>
                <w:numId w:val="8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À partir de 80 dB(A) : mise à disposition </w:t>
            </w:r>
          </w:p>
          <w:p w14:paraId="06CD7805" w14:textId="77777777" w:rsidR="00936910" w:rsidRPr="00176FA1" w:rsidRDefault="00936910" w:rsidP="00E85D8D">
            <w:pPr>
              <w:pStyle w:val="Paragraphedeliste"/>
              <w:numPr>
                <w:ilvl w:val="1"/>
                <w:numId w:val="8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À partir de 85 dB(A) : port obligatoire </w:t>
            </w:r>
          </w:p>
          <w:p w14:paraId="13820108" w14:textId="27A3509F" w:rsidR="00936910" w:rsidRPr="00176FA1" w:rsidRDefault="00936910" w:rsidP="00E85D8D">
            <w:pPr>
              <w:pStyle w:val="Paragraphedeliste"/>
              <w:numPr>
                <w:ilvl w:val="0"/>
                <w:numId w:val="8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Prévoir des équipements peu bruyants</w:t>
            </w:r>
            <w:r w:rsidR="00A6420B">
              <w:rPr>
                <w:bCs/>
                <w:lang w:val="fr-BE"/>
              </w:rPr>
              <w:t>.</w:t>
            </w:r>
            <w:r w:rsidRPr="00176FA1">
              <w:rPr>
                <w:bCs/>
                <w:lang w:val="fr-BE"/>
              </w:rPr>
              <w:t xml:space="preserve"> </w:t>
            </w:r>
          </w:p>
          <w:p w14:paraId="7D6E3FA2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098C1EBE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5F842049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3C1AAFAB" w14:textId="77777777" w:rsidTr="00936910">
        <w:tc>
          <w:tcPr>
            <w:tcW w:w="2972" w:type="dxa"/>
          </w:tcPr>
          <w:p w14:paraId="664BAF4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Températures extrêmes</w:t>
            </w:r>
          </w:p>
          <w:p w14:paraId="008F3D7D" w14:textId="77777777" w:rsidR="00936910" w:rsidRPr="00176FA1" w:rsidRDefault="00936910" w:rsidP="00936910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Lieux de travail à l’air libre : &lt; 5°C</w:t>
            </w:r>
          </w:p>
          <w:p w14:paraId="123694F8" w14:textId="77777777" w:rsidR="00936910" w:rsidRPr="00176FA1" w:rsidRDefault="00936910" w:rsidP="00936910">
            <w:pPr>
              <w:pStyle w:val="Paragraphedeliste"/>
              <w:numPr>
                <w:ilvl w:val="0"/>
                <w:numId w:val="9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Local de travail fermé et travail mi-lourd : &lt; 15°C et &gt; 26.7°C (en fonction du degré d’humidité) </w:t>
            </w:r>
          </w:p>
        </w:tc>
        <w:tc>
          <w:tcPr>
            <w:tcW w:w="2268" w:type="dxa"/>
          </w:tcPr>
          <w:p w14:paraId="52FD962E" w14:textId="77777777" w:rsidR="00936910" w:rsidRPr="00176FA1" w:rsidRDefault="00936910" w:rsidP="00936910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Perte de concentration</w:t>
            </w:r>
          </w:p>
          <w:p w14:paraId="65774EDE" w14:textId="77777777" w:rsidR="00936910" w:rsidRPr="00176FA1" w:rsidRDefault="00936910" w:rsidP="00936910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Déshydratation </w:t>
            </w:r>
          </w:p>
          <w:p w14:paraId="2D198F3D" w14:textId="77777777" w:rsidR="00936910" w:rsidRPr="00176FA1" w:rsidRDefault="00936910" w:rsidP="00936910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Hypothermie </w:t>
            </w:r>
          </w:p>
        </w:tc>
        <w:tc>
          <w:tcPr>
            <w:tcW w:w="1418" w:type="dxa"/>
          </w:tcPr>
          <w:p w14:paraId="4898E2EA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2C45F6FD" w14:textId="45A605B6" w:rsidR="00936910" w:rsidRPr="00176FA1" w:rsidRDefault="00936910" w:rsidP="00E85D8D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Porter des équipements de protection individuelle adaptés : </w:t>
            </w:r>
            <w:r w:rsidR="00A6420B">
              <w:rPr>
                <w:bCs/>
                <w:lang w:val="fr-BE"/>
              </w:rPr>
              <w:t>v</w:t>
            </w:r>
            <w:r w:rsidRPr="00176FA1">
              <w:rPr>
                <w:bCs/>
                <w:lang w:val="fr-BE"/>
              </w:rPr>
              <w:t>êtements contre l’humidité, chaussures de sécurité, gants et casques de sécurité.</w:t>
            </w:r>
          </w:p>
          <w:p w14:paraId="1321026F" w14:textId="77777777" w:rsidR="00936910" w:rsidRPr="00176FA1" w:rsidRDefault="00936910" w:rsidP="00E85D8D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Éviter les travaux lorsque les températures sont extrêmes (aussi bien froides que chaudes). </w:t>
            </w:r>
          </w:p>
          <w:p w14:paraId="74670A7A" w14:textId="0D35E75E" w:rsidR="00936910" w:rsidRPr="00176FA1" w:rsidRDefault="00936910" w:rsidP="00E85D8D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Limiter l’exposition aux températures</w:t>
            </w:r>
            <w:r w:rsidR="00A6420B">
              <w:rPr>
                <w:bCs/>
                <w:lang w:val="fr-BE"/>
              </w:rPr>
              <w:t>.</w:t>
            </w:r>
            <w:r w:rsidRPr="00176FA1">
              <w:rPr>
                <w:bCs/>
                <w:lang w:val="fr-BE"/>
              </w:rPr>
              <w:t xml:space="preserve"> extrêmes à quelques heures par jour. </w:t>
            </w:r>
          </w:p>
          <w:p w14:paraId="3009E654" w14:textId="77777777" w:rsidR="00936910" w:rsidRPr="00176FA1" w:rsidRDefault="00936910" w:rsidP="00E85D8D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Mettre à disposition un local frais ou chauffé. </w:t>
            </w:r>
          </w:p>
          <w:p w14:paraId="06D5EFAC" w14:textId="77777777" w:rsidR="00936910" w:rsidRPr="00176FA1" w:rsidRDefault="00936910" w:rsidP="00E85D8D">
            <w:pPr>
              <w:pStyle w:val="Paragraphedeliste"/>
              <w:numPr>
                <w:ilvl w:val="0"/>
                <w:numId w:val="9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Encourager à boire suffisamment en cas de forte chaleur. </w:t>
            </w:r>
          </w:p>
          <w:p w14:paraId="58585414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4F9E5EC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09A5E3A4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315D6782" w14:textId="77777777" w:rsidTr="00936910">
        <w:tc>
          <w:tcPr>
            <w:tcW w:w="2972" w:type="dxa"/>
          </w:tcPr>
          <w:p w14:paraId="66D20996" w14:textId="77777777" w:rsidR="00936910" w:rsidRPr="00176FA1" w:rsidRDefault="00936910" w:rsidP="004B4A5C">
            <w:p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Travail en hauteur (échafaudages ou échelles) </w:t>
            </w:r>
          </w:p>
        </w:tc>
        <w:tc>
          <w:tcPr>
            <w:tcW w:w="2268" w:type="dxa"/>
          </w:tcPr>
          <w:p w14:paraId="22C6B0DC" w14:textId="77777777" w:rsidR="00936910" w:rsidRPr="00176FA1" w:rsidRDefault="00936910" w:rsidP="00936910">
            <w:pPr>
              <w:pStyle w:val="Paragraphedeliste"/>
              <w:numPr>
                <w:ilvl w:val="0"/>
                <w:numId w:val="10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Chute </w:t>
            </w:r>
          </w:p>
          <w:p w14:paraId="3B7BBAF1" w14:textId="77777777" w:rsidR="00936910" w:rsidRPr="00176FA1" w:rsidRDefault="00936910" w:rsidP="00936910">
            <w:pPr>
              <w:pStyle w:val="Paragraphedeliste"/>
              <w:numPr>
                <w:ilvl w:val="0"/>
                <w:numId w:val="10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Blessures corporelles </w:t>
            </w:r>
          </w:p>
        </w:tc>
        <w:tc>
          <w:tcPr>
            <w:tcW w:w="1418" w:type="dxa"/>
          </w:tcPr>
          <w:p w14:paraId="14BF9349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148201EF" w14:textId="77777777" w:rsidR="00936910" w:rsidRPr="00176FA1" w:rsidRDefault="00936910" w:rsidP="00E85D8D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Utiliser des équipements antichute. </w:t>
            </w:r>
          </w:p>
          <w:p w14:paraId="5A90D9F5" w14:textId="77777777" w:rsidR="00936910" w:rsidRPr="00176FA1" w:rsidRDefault="00936910" w:rsidP="00E85D8D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Instaurer un contrôle visuel systématique avant utilisation des équipements ainsi que le contrôle annuel par un organisme agréé. </w:t>
            </w:r>
          </w:p>
          <w:p w14:paraId="02066553" w14:textId="77777777" w:rsidR="00936910" w:rsidRPr="00176FA1" w:rsidRDefault="00936910" w:rsidP="00E85D8D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Ne pas autoriser la création d’équipements “maison”. Utiliser le matériel selon les indications du fabricant. </w:t>
            </w:r>
          </w:p>
          <w:p w14:paraId="4A69C20C" w14:textId="77777777" w:rsidR="00936910" w:rsidRPr="00176FA1" w:rsidRDefault="00936910" w:rsidP="00E85D8D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Placer/positionner les échelles selon les règles de l’art. </w:t>
            </w:r>
          </w:p>
          <w:p w14:paraId="5646163C" w14:textId="77777777" w:rsidR="00936910" w:rsidRPr="00176FA1" w:rsidRDefault="00936910" w:rsidP="00E85D8D">
            <w:pPr>
              <w:pStyle w:val="Paragraphedeliste"/>
              <w:numPr>
                <w:ilvl w:val="0"/>
                <w:numId w:val="10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Veiller à un environnement de travail ordonné. </w:t>
            </w:r>
          </w:p>
          <w:p w14:paraId="59CFDE67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1693F0C2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4880610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5B3E3E55" w14:textId="77777777" w:rsidTr="00936910">
        <w:tc>
          <w:tcPr>
            <w:tcW w:w="2972" w:type="dxa"/>
          </w:tcPr>
          <w:p w14:paraId="6758BBF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Contact avec des pièces sous tension </w:t>
            </w:r>
          </w:p>
        </w:tc>
        <w:tc>
          <w:tcPr>
            <w:tcW w:w="2268" w:type="dxa"/>
          </w:tcPr>
          <w:p w14:paraId="522F04F6" w14:textId="77777777" w:rsidR="00936910" w:rsidRPr="00176FA1" w:rsidRDefault="00936910" w:rsidP="00936910">
            <w:pPr>
              <w:pStyle w:val="Paragraphedeliste"/>
              <w:numPr>
                <w:ilvl w:val="0"/>
                <w:numId w:val="15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Blessures corporelles</w:t>
            </w:r>
          </w:p>
          <w:p w14:paraId="70DE273B" w14:textId="77777777" w:rsidR="00936910" w:rsidRPr="00176FA1" w:rsidRDefault="00936910" w:rsidP="00936910">
            <w:pPr>
              <w:pStyle w:val="Paragraphedeliste"/>
              <w:numPr>
                <w:ilvl w:val="0"/>
                <w:numId w:val="15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Électrisation </w:t>
            </w:r>
          </w:p>
          <w:p w14:paraId="159408C8" w14:textId="77777777" w:rsidR="00936910" w:rsidRPr="00176FA1" w:rsidRDefault="00936910" w:rsidP="00936910">
            <w:pPr>
              <w:pStyle w:val="Paragraphedeliste"/>
              <w:numPr>
                <w:ilvl w:val="0"/>
                <w:numId w:val="15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Électrocution </w:t>
            </w:r>
          </w:p>
        </w:tc>
        <w:tc>
          <w:tcPr>
            <w:tcW w:w="1418" w:type="dxa"/>
          </w:tcPr>
          <w:p w14:paraId="6B21AE5B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062AC0C3" w14:textId="2C413E6F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Porter les équipements de protection adaptés : </w:t>
            </w:r>
            <w:r w:rsidR="00A6420B">
              <w:rPr>
                <w:bCs/>
                <w:lang w:val="fr-BE"/>
              </w:rPr>
              <w:t>c</w:t>
            </w:r>
            <w:r w:rsidRPr="00176FA1">
              <w:rPr>
                <w:bCs/>
                <w:lang w:val="fr-BE"/>
              </w:rPr>
              <w:t>asque, chaussures et gants de sécurité isolants (+ éventuellement utiliser un tapis isolant)</w:t>
            </w:r>
            <w:r w:rsidR="00A6420B">
              <w:rPr>
                <w:bCs/>
                <w:lang w:val="fr-BE"/>
              </w:rPr>
              <w:t>.</w:t>
            </w:r>
            <w:r w:rsidRPr="00176FA1">
              <w:rPr>
                <w:bCs/>
                <w:lang w:val="fr-BE"/>
              </w:rPr>
              <w:t xml:space="preserve"> </w:t>
            </w:r>
          </w:p>
          <w:p w14:paraId="3131BB4D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Veiller à ce que le courant soit coupé avant de commencer les travaux.</w:t>
            </w:r>
          </w:p>
          <w:p w14:paraId="5BEB573B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Instaurer une procédure de verrouillage pour l’interrupteur de courant de sorte qu’un collègue ou un tiers ne puisse remettre l’installation/appareillage sous tension. </w:t>
            </w:r>
          </w:p>
          <w:p w14:paraId="6E7E5F9A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Contrôler l’absence de tension à l’aide d’un multimètre et/ou d’un détecteur de tension. </w:t>
            </w:r>
          </w:p>
          <w:p w14:paraId="012689BD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Éviter l’eau et l’humidité dans l’environnement de travail. </w:t>
            </w:r>
          </w:p>
          <w:p w14:paraId="3E7ED5A0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Utiliser des outils à main disposant d’une poignée en matériau isolant. </w:t>
            </w:r>
          </w:p>
          <w:p w14:paraId="22D63D49" w14:textId="77777777" w:rsidR="00936910" w:rsidRPr="00176FA1" w:rsidRDefault="00936910" w:rsidP="00E85D8D">
            <w:pPr>
              <w:pStyle w:val="Paragraphedeliste"/>
              <w:numPr>
                <w:ilvl w:val="0"/>
                <w:numId w:val="12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Placer un disjoncteur différentiel. </w:t>
            </w:r>
          </w:p>
          <w:p w14:paraId="0FF9D684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7EA733E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6F7E4C33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645CE785" w14:textId="77777777" w:rsidTr="00936910">
        <w:tc>
          <w:tcPr>
            <w:tcW w:w="2972" w:type="dxa"/>
          </w:tcPr>
          <w:p w14:paraId="7DEA1BD1" w14:textId="77777777" w:rsidR="00936910" w:rsidRPr="00176FA1" w:rsidRDefault="00936910" w:rsidP="004B4A5C">
            <w:p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Lignes électriques endommagées </w:t>
            </w:r>
          </w:p>
        </w:tc>
        <w:tc>
          <w:tcPr>
            <w:tcW w:w="2268" w:type="dxa"/>
          </w:tcPr>
          <w:p w14:paraId="193A1212" w14:textId="77777777" w:rsidR="00936910" w:rsidRPr="00176FA1" w:rsidRDefault="00936910" w:rsidP="00936910">
            <w:pPr>
              <w:pStyle w:val="Paragraphedeliste"/>
              <w:numPr>
                <w:ilvl w:val="0"/>
                <w:numId w:val="1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Brûlure</w:t>
            </w:r>
          </w:p>
          <w:p w14:paraId="63D3FACD" w14:textId="77777777" w:rsidR="00936910" w:rsidRPr="00176FA1" w:rsidRDefault="00936910" w:rsidP="00936910">
            <w:pPr>
              <w:pStyle w:val="Paragraphedeliste"/>
              <w:numPr>
                <w:ilvl w:val="0"/>
                <w:numId w:val="1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Électrisation </w:t>
            </w:r>
          </w:p>
          <w:p w14:paraId="56498880" w14:textId="77777777" w:rsidR="00936910" w:rsidRPr="00176FA1" w:rsidRDefault="00936910" w:rsidP="00936910">
            <w:pPr>
              <w:pStyle w:val="Paragraphedeliste"/>
              <w:numPr>
                <w:ilvl w:val="0"/>
                <w:numId w:val="17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Électrocution</w:t>
            </w:r>
          </w:p>
        </w:tc>
        <w:tc>
          <w:tcPr>
            <w:tcW w:w="1418" w:type="dxa"/>
          </w:tcPr>
          <w:p w14:paraId="5E068445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3B0D28E1" w14:textId="77777777" w:rsidR="00936910" w:rsidRPr="00176FA1" w:rsidRDefault="00936910" w:rsidP="00E85D8D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Porter les équipements de protection adaptés : casque, chaussures et gants de protection isolants. </w:t>
            </w:r>
          </w:p>
          <w:p w14:paraId="02E6031A" w14:textId="77777777" w:rsidR="00936910" w:rsidRPr="00176FA1" w:rsidRDefault="00936910" w:rsidP="00E85D8D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Contrôler les outils électriques avant usage pour détecter les éventuels dommages. </w:t>
            </w:r>
          </w:p>
          <w:p w14:paraId="4D11BB3C" w14:textId="77777777" w:rsidR="00936910" w:rsidRPr="00176FA1" w:rsidRDefault="00936910" w:rsidP="00E85D8D">
            <w:pPr>
              <w:pStyle w:val="Paragraphedeliste"/>
              <w:numPr>
                <w:ilvl w:val="0"/>
                <w:numId w:val="11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Interdire l’utilisation d’outils électriques endommagés et introduire une procédure de signalement à la hiérarchique des besoins en réparation/remplacement. </w:t>
            </w:r>
          </w:p>
          <w:p w14:paraId="3C48CEE2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503575AA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2DEFD220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09CC6914" w14:textId="77777777" w:rsidTr="00936910">
        <w:tc>
          <w:tcPr>
            <w:tcW w:w="2972" w:type="dxa"/>
          </w:tcPr>
          <w:p w14:paraId="5B2AC79C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Travaux/branchements d’installations non autorisés </w:t>
            </w:r>
          </w:p>
        </w:tc>
        <w:tc>
          <w:tcPr>
            <w:tcW w:w="2268" w:type="dxa"/>
          </w:tcPr>
          <w:p w14:paraId="133893E6" w14:textId="77777777" w:rsidR="00936910" w:rsidRPr="00176FA1" w:rsidRDefault="00936910" w:rsidP="00936910">
            <w:pPr>
              <w:pStyle w:val="Paragraphedeliste"/>
              <w:numPr>
                <w:ilvl w:val="0"/>
                <w:numId w:val="1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Brûlure</w:t>
            </w:r>
          </w:p>
          <w:p w14:paraId="7C8EAB6E" w14:textId="77777777" w:rsidR="00936910" w:rsidRPr="00176FA1" w:rsidRDefault="00936910" w:rsidP="00936910">
            <w:pPr>
              <w:pStyle w:val="Paragraphedeliste"/>
              <w:numPr>
                <w:ilvl w:val="0"/>
                <w:numId w:val="1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Électrisation </w:t>
            </w:r>
          </w:p>
          <w:p w14:paraId="085382BE" w14:textId="77777777" w:rsidR="00936910" w:rsidRPr="00176FA1" w:rsidRDefault="00936910" w:rsidP="00936910">
            <w:pPr>
              <w:pStyle w:val="Paragraphedeliste"/>
              <w:numPr>
                <w:ilvl w:val="0"/>
                <w:numId w:val="18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Électrocution</w:t>
            </w:r>
          </w:p>
        </w:tc>
        <w:tc>
          <w:tcPr>
            <w:tcW w:w="1418" w:type="dxa"/>
          </w:tcPr>
          <w:p w14:paraId="06CB562B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41B56A5D" w14:textId="77777777" w:rsidR="00936910" w:rsidRPr="00176FA1" w:rsidRDefault="00936910" w:rsidP="00E85D8D">
            <w:pPr>
              <w:pStyle w:val="Paragraphedeliste"/>
              <w:numPr>
                <w:ilvl w:val="0"/>
                <w:numId w:val="16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Instaurer une procédure de verrouillage pour l’interrupteur de courant de sorte qu’un collègue ou un tiers ne puisse remettre l’installation/appareillage sous tension. </w:t>
            </w:r>
          </w:p>
          <w:p w14:paraId="67BE5B35" w14:textId="77777777" w:rsidR="00936910" w:rsidRPr="00176FA1" w:rsidRDefault="00936910" w:rsidP="00E85D8D">
            <w:pPr>
              <w:pStyle w:val="Paragraphedeliste"/>
              <w:numPr>
                <w:ilvl w:val="0"/>
                <w:numId w:val="16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Mettre en place une signalisation/un panneau d’avertissement. </w:t>
            </w:r>
          </w:p>
          <w:p w14:paraId="0CBDEFE7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6DA916C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0ADADFE7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679346D4" w14:textId="77777777" w:rsidTr="00936910">
        <w:tc>
          <w:tcPr>
            <w:tcW w:w="2972" w:type="dxa"/>
          </w:tcPr>
          <w:p w14:paraId="01E7D4AC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Étincelles/Formation d’un arc électrique</w:t>
            </w:r>
          </w:p>
        </w:tc>
        <w:tc>
          <w:tcPr>
            <w:tcW w:w="2268" w:type="dxa"/>
          </w:tcPr>
          <w:p w14:paraId="35D68B00" w14:textId="77777777" w:rsidR="00936910" w:rsidRPr="00176FA1" w:rsidRDefault="00936910" w:rsidP="00936910">
            <w:pPr>
              <w:pStyle w:val="Paragraphedeliste"/>
              <w:numPr>
                <w:ilvl w:val="0"/>
                <w:numId w:val="13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Incendie</w:t>
            </w:r>
          </w:p>
          <w:p w14:paraId="029F418B" w14:textId="77777777" w:rsidR="00936910" w:rsidRPr="00176FA1" w:rsidRDefault="00936910" w:rsidP="00936910">
            <w:pPr>
              <w:pStyle w:val="Paragraphedeliste"/>
              <w:numPr>
                <w:ilvl w:val="0"/>
                <w:numId w:val="13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Explosion</w:t>
            </w:r>
          </w:p>
          <w:p w14:paraId="32A22100" w14:textId="77777777" w:rsidR="00936910" w:rsidRPr="00176FA1" w:rsidRDefault="00936910" w:rsidP="00936910">
            <w:pPr>
              <w:pStyle w:val="Paragraphedeliste"/>
              <w:numPr>
                <w:ilvl w:val="0"/>
                <w:numId w:val="13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Lésions oculaires</w:t>
            </w:r>
          </w:p>
          <w:p w14:paraId="10D8DCFD" w14:textId="77777777" w:rsidR="00936910" w:rsidRPr="00176FA1" w:rsidRDefault="00936910" w:rsidP="00936910">
            <w:pPr>
              <w:pStyle w:val="Paragraphedeliste"/>
              <w:numPr>
                <w:ilvl w:val="0"/>
                <w:numId w:val="13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Brûlures</w:t>
            </w:r>
          </w:p>
        </w:tc>
        <w:tc>
          <w:tcPr>
            <w:tcW w:w="1418" w:type="dxa"/>
          </w:tcPr>
          <w:p w14:paraId="6AA2942C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7A1B5A03" w14:textId="77777777" w:rsidR="00936910" w:rsidRPr="00176FA1" w:rsidRDefault="00936910" w:rsidP="00E85D8D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Porter les équipements de protection adaptés :  lunettes de sécurité, écran facial, vêtements ignifugés, gants de protection. </w:t>
            </w:r>
          </w:p>
          <w:p w14:paraId="065912DD" w14:textId="77777777" w:rsidR="00936910" w:rsidRPr="00176FA1" w:rsidRDefault="00936910" w:rsidP="00E85D8D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Garder une zone sans tension. </w:t>
            </w:r>
          </w:p>
          <w:p w14:paraId="22355FCF" w14:textId="77777777" w:rsidR="00936910" w:rsidRPr="00176FA1" w:rsidRDefault="00936910" w:rsidP="00E85D8D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Instaurer le permis de feu. </w:t>
            </w:r>
          </w:p>
          <w:p w14:paraId="74A95286" w14:textId="77777777" w:rsidR="00936910" w:rsidRPr="00176FA1" w:rsidRDefault="00936910" w:rsidP="00E85D8D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S’assurer qu’aucun produit oxydant ou inflammable ne se situe dans l’environnement proche. </w:t>
            </w:r>
          </w:p>
          <w:p w14:paraId="1ECFE614" w14:textId="77777777" w:rsidR="00936910" w:rsidRPr="00176FA1" w:rsidRDefault="00936910" w:rsidP="00E85D8D">
            <w:pPr>
              <w:pStyle w:val="Paragraphedeliste"/>
              <w:numPr>
                <w:ilvl w:val="0"/>
                <w:numId w:val="13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Utiliser des équipements électriques disposant du marquage EX (utilisable en atmosphère explosible). </w:t>
            </w:r>
          </w:p>
          <w:p w14:paraId="28BA496F" w14:textId="77777777" w:rsidR="00936910" w:rsidRPr="0016669B" w:rsidRDefault="00936910" w:rsidP="00E85D8D">
            <w:pPr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0D9FFBB2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D87A35F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  <w:tr w:rsidR="00936910" w:rsidRPr="00176FA1" w14:paraId="6AF05C76" w14:textId="77777777" w:rsidTr="00936910">
        <w:tc>
          <w:tcPr>
            <w:tcW w:w="2972" w:type="dxa"/>
          </w:tcPr>
          <w:p w14:paraId="1811329F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Dénuder ou installer des fils électriques </w:t>
            </w:r>
          </w:p>
        </w:tc>
        <w:tc>
          <w:tcPr>
            <w:tcW w:w="2268" w:type="dxa"/>
          </w:tcPr>
          <w:p w14:paraId="66CFBE0C" w14:textId="77777777" w:rsidR="00936910" w:rsidRPr="00176FA1" w:rsidRDefault="00936910" w:rsidP="00936910">
            <w:pPr>
              <w:pStyle w:val="Paragraphedeliste"/>
              <w:numPr>
                <w:ilvl w:val="0"/>
                <w:numId w:val="14"/>
              </w:numPr>
              <w:jc w:val="both"/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>Coupures</w:t>
            </w:r>
          </w:p>
        </w:tc>
        <w:tc>
          <w:tcPr>
            <w:tcW w:w="1418" w:type="dxa"/>
          </w:tcPr>
          <w:p w14:paraId="4ABACCB8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4677" w:type="dxa"/>
          </w:tcPr>
          <w:p w14:paraId="7B4C7A12" w14:textId="77777777" w:rsidR="00936910" w:rsidRPr="00176FA1" w:rsidRDefault="00936910" w:rsidP="00E85D8D">
            <w:pPr>
              <w:pStyle w:val="Paragraphedeliste"/>
              <w:numPr>
                <w:ilvl w:val="0"/>
                <w:numId w:val="1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Porter les équipements de protection adéquats : gants de protection. </w:t>
            </w:r>
          </w:p>
          <w:p w14:paraId="3FF3EC77" w14:textId="77777777" w:rsidR="00936910" w:rsidRPr="00176FA1" w:rsidRDefault="00936910" w:rsidP="00E85D8D">
            <w:pPr>
              <w:pStyle w:val="Paragraphedeliste"/>
              <w:numPr>
                <w:ilvl w:val="0"/>
                <w:numId w:val="14"/>
              </w:numPr>
              <w:rPr>
                <w:bCs/>
                <w:lang w:val="fr-BE"/>
              </w:rPr>
            </w:pPr>
            <w:r w:rsidRPr="00176FA1">
              <w:rPr>
                <w:bCs/>
                <w:lang w:val="fr-BE"/>
              </w:rPr>
              <w:t xml:space="preserve">Utiliser des outils à main munis d’une poignée isolante. </w:t>
            </w:r>
          </w:p>
          <w:p w14:paraId="0BC368AD" w14:textId="77777777" w:rsidR="00936910" w:rsidRPr="00176FA1" w:rsidRDefault="00936910" w:rsidP="00E85D8D">
            <w:pPr>
              <w:pStyle w:val="Paragraphedeliste"/>
              <w:ind w:left="360"/>
              <w:rPr>
                <w:bCs/>
                <w:lang w:val="fr-BE"/>
              </w:rPr>
            </w:pPr>
          </w:p>
        </w:tc>
        <w:tc>
          <w:tcPr>
            <w:tcW w:w="1418" w:type="dxa"/>
          </w:tcPr>
          <w:p w14:paraId="62936759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  <w:tc>
          <w:tcPr>
            <w:tcW w:w="1984" w:type="dxa"/>
          </w:tcPr>
          <w:p w14:paraId="4BF0AB81" w14:textId="77777777" w:rsidR="00936910" w:rsidRPr="00176FA1" w:rsidRDefault="00936910" w:rsidP="004B4A5C">
            <w:pPr>
              <w:jc w:val="both"/>
              <w:rPr>
                <w:bCs/>
                <w:lang w:val="fr-BE"/>
              </w:rPr>
            </w:pPr>
          </w:p>
        </w:tc>
      </w:tr>
    </w:tbl>
    <w:bookmarkEnd w:id="1"/>
    <w:p w14:paraId="2160356F" w14:textId="77777777" w:rsidR="00B314C7" w:rsidRPr="00DE06D8" w:rsidRDefault="00B314C7" w:rsidP="00B314C7">
      <w:pPr>
        <w:spacing w:after="0"/>
        <w:ind w:right="-784"/>
        <w:jc w:val="both"/>
        <w:rPr>
          <w:b/>
          <w:bCs/>
          <w:iCs/>
          <w:sz w:val="24"/>
          <w:szCs w:val="24"/>
          <w:lang w:val="fr-BE"/>
        </w:rPr>
      </w:pPr>
      <w:r w:rsidRPr="00DE06D8">
        <w:rPr>
          <w:b/>
          <w:bCs/>
          <w:iCs/>
          <w:sz w:val="24"/>
          <w:szCs w:val="24"/>
          <w:u w:val="single"/>
          <w:lang w:val="fr-BE"/>
        </w:rPr>
        <w:t>Disclaimer</w:t>
      </w:r>
      <w:r w:rsidRPr="00DE06D8">
        <w:rPr>
          <w:b/>
          <w:bCs/>
          <w:iCs/>
          <w:sz w:val="24"/>
          <w:szCs w:val="24"/>
          <w:lang w:val="fr-BE"/>
        </w:rPr>
        <w:t> : Cet</w:t>
      </w:r>
      <w:r>
        <w:rPr>
          <w:b/>
          <w:bCs/>
          <w:iCs/>
          <w:sz w:val="24"/>
          <w:szCs w:val="24"/>
          <w:lang w:val="fr-BE"/>
        </w:rPr>
        <w:t xml:space="preserve"> inventaire</w:t>
      </w:r>
      <w:r w:rsidRPr="00DE06D8">
        <w:rPr>
          <w:b/>
          <w:bCs/>
          <w:iCs/>
          <w:sz w:val="24"/>
          <w:szCs w:val="24"/>
          <w:lang w:val="fr-BE"/>
        </w:rPr>
        <w:t xml:space="preserve"> des risques est fourni à titre indicatif et doit impérativement être adapté à la situation réelle dans l’entreprise. Prévention et Intérim ne saurait être tenu responsable des inexactitudes ou de l’incomplétude des informations fournies par le présent document. </w:t>
      </w:r>
      <w:r>
        <w:rPr>
          <w:b/>
          <w:bCs/>
          <w:iCs/>
          <w:sz w:val="24"/>
          <w:szCs w:val="24"/>
          <w:lang w:val="fr-BE"/>
        </w:rPr>
        <w:t>L</w:t>
      </w:r>
      <w:r w:rsidRPr="00DE06D8">
        <w:rPr>
          <w:b/>
          <w:bCs/>
          <w:iCs/>
          <w:sz w:val="24"/>
          <w:szCs w:val="24"/>
          <w:lang w:val="fr-BE"/>
        </w:rPr>
        <w:t xml:space="preserve">es informations qu’il contient ne sont pas adaptées à des circonstances personnelles ou spécifiques. </w:t>
      </w:r>
      <w:r>
        <w:rPr>
          <w:b/>
          <w:bCs/>
          <w:iCs/>
          <w:sz w:val="24"/>
          <w:szCs w:val="24"/>
          <w:lang w:val="fr-BE"/>
        </w:rPr>
        <w:t>Par conséquent, l</w:t>
      </w:r>
      <w:r w:rsidRPr="00DE06D8">
        <w:rPr>
          <w:b/>
          <w:bCs/>
          <w:iCs/>
          <w:sz w:val="24"/>
          <w:szCs w:val="24"/>
          <w:lang w:val="fr-BE"/>
        </w:rPr>
        <w:t xml:space="preserve">’utilisateur ne </w:t>
      </w:r>
      <w:r>
        <w:rPr>
          <w:b/>
          <w:bCs/>
          <w:iCs/>
          <w:sz w:val="24"/>
          <w:szCs w:val="24"/>
          <w:lang w:val="fr-BE"/>
        </w:rPr>
        <w:t xml:space="preserve">doit en aucun cas </w:t>
      </w:r>
      <w:r w:rsidRPr="00DE06D8">
        <w:rPr>
          <w:b/>
          <w:bCs/>
          <w:iCs/>
          <w:sz w:val="24"/>
          <w:szCs w:val="24"/>
          <w:lang w:val="fr-BE"/>
        </w:rPr>
        <w:t>les considérer comme des conseils personnels, professionnels ou juridiques. En outre, diverses manières d’analyser les risques sont possibles, par exemple, le graphe de risques, la méthode « </w:t>
      </w:r>
      <w:proofErr w:type="spellStart"/>
      <w:r w:rsidRPr="00DE06D8">
        <w:rPr>
          <w:b/>
          <w:bCs/>
          <w:iCs/>
          <w:sz w:val="24"/>
          <w:szCs w:val="24"/>
          <w:lang w:val="fr-BE"/>
        </w:rPr>
        <w:t>Kinney</w:t>
      </w:r>
      <w:proofErr w:type="spellEnd"/>
      <w:r w:rsidRPr="00DE06D8">
        <w:rPr>
          <w:b/>
          <w:bCs/>
          <w:iCs/>
          <w:sz w:val="24"/>
          <w:szCs w:val="24"/>
          <w:lang w:val="fr-BE"/>
        </w:rPr>
        <w:t xml:space="preserve"> » ou l’évaluation du risque selon des gradations (très faible, faible, moyen, élevé, très élevé).  </w:t>
      </w:r>
    </w:p>
    <w:p w14:paraId="4588CDCC" w14:textId="3A170D26" w:rsidR="00C270CB" w:rsidRPr="00936910" w:rsidRDefault="00C270CB" w:rsidP="00B314C7">
      <w:pPr>
        <w:rPr>
          <w:lang w:val="fr-BE"/>
        </w:rPr>
      </w:pPr>
    </w:p>
    <w:sectPr w:rsidR="00C270CB" w:rsidRPr="00936910" w:rsidSect="00936910">
      <w:headerReference w:type="default" r:id="rId10"/>
      <w:pgSz w:w="16838" w:h="11906" w:orient="landscape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80720" w14:textId="77777777" w:rsidR="00D72C6E" w:rsidRDefault="00D72C6E" w:rsidP="00936910">
      <w:pPr>
        <w:spacing w:after="0" w:line="240" w:lineRule="auto"/>
      </w:pPr>
      <w:r>
        <w:separator/>
      </w:r>
    </w:p>
  </w:endnote>
  <w:endnote w:type="continuationSeparator" w:id="0">
    <w:p w14:paraId="43D86377" w14:textId="77777777" w:rsidR="00D72C6E" w:rsidRDefault="00D72C6E" w:rsidP="0093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9252A" w14:textId="77777777" w:rsidR="00D72C6E" w:rsidRDefault="00D72C6E" w:rsidP="00936910">
      <w:pPr>
        <w:spacing w:after="0" w:line="240" w:lineRule="auto"/>
      </w:pPr>
      <w:r>
        <w:separator/>
      </w:r>
    </w:p>
  </w:footnote>
  <w:footnote w:type="continuationSeparator" w:id="0">
    <w:p w14:paraId="3633BFF5" w14:textId="77777777" w:rsidR="00D72C6E" w:rsidRDefault="00D72C6E" w:rsidP="00936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DB0BF" w14:textId="4CE975D5" w:rsidR="00936910" w:rsidRDefault="00936910">
    <w:pPr>
      <w:pStyle w:val="En-tte"/>
    </w:pPr>
    <w:r w:rsidRPr="00EE32D5">
      <w:rPr>
        <w:b/>
        <w:noProof/>
        <w:color w:val="FF0000"/>
        <w:lang w:eastAsia="nl-BE"/>
      </w:rPr>
      <w:drawing>
        <wp:anchor distT="0" distB="0" distL="114300" distR="114300" simplePos="0" relativeHeight="251659264" behindDoc="1" locked="0" layoutInCell="1" allowOverlap="1" wp14:anchorId="335A5C19" wp14:editId="5C7874E7">
          <wp:simplePos x="0" y="0"/>
          <wp:positionH relativeFrom="column">
            <wp:posOffset>0</wp:posOffset>
          </wp:positionH>
          <wp:positionV relativeFrom="paragraph">
            <wp:posOffset>-280035</wp:posOffset>
          </wp:positionV>
          <wp:extent cx="748030" cy="723900"/>
          <wp:effectExtent l="0" t="0" r="0" b="0"/>
          <wp:wrapTight wrapText="bothSides">
            <wp:wrapPolygon edited="0">
              <wp:start x="0" y="0"/>
              <wp:lineTo x="0" y="21032"/>
              <wp:lineTo x="20903" y="21032"/>
              <wp:lineTo x="20903" y="0"/>
              <wp:lineTo x="0" y="0"/>
            </wp:wrapPolygon>
          </wp:wrapTight>
          <wp:docPr id="3" name="Picture 0" descr="PI 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 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03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6E07"/>
    <w:multiLevelType w:val="hybridMultilevel"/>
    <w:tmpl w:val="7EDE8814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7A0955"/>
    <w:multiLevelType w:val="hybridMultilevel"/>
    <w:tmpl w:val="ACB4F528"/>
    <w:lvl w:ilvl="0" w:tplc="3BBAB58E">
      <w:start w:val="1"/>
      <w:numFmt w:val="decimal"/>
      <w:pStyle w:val="Titre1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891687"/>
    <w:multiLevelType w:val="hybridMultilevel"/>
    <w:tmpl w:val="CFF6A7E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F07FCC"/>
    <w:multiLevelType w:val="hybridMultilevel"/>
    <w:tmpl w:val="4AEEE030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3673C"/>
    <w:multiLevelType w:val="hybridMultilevel"/>
    <w:tmpl w:val="472A9C6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322CD"/>
    <w:multiLevelType w:val="hybridMultilevel"/>
    <w:tmpl w:val="87FAE9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EE31C3"/>
    <w:multiLevelType w:val="hybridMultilevel"/>
    <w:tmpl w:val="67D00C4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90F8E"/>
    <w:multiLevelType w:val="hybridMultilevel"/>
    <w:tmpl w:val="44CCA4C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FD579F"/>
    <w:multiLevelType w:val="hybridMultilevel"/>
    <w:tmpl w:val="5906C12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5669BC"/>
    <w:multiLevelType w:val="hybridMultilevel"/>
    <w:tmpl w:val="35FA06E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004D1E"/>
    <w:multiLevelType w:val="hybridMultilevel"/>
    <w:tmpl w:val="790055B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2163EA"/>
    <w:multiLevelType w:val="hybridMultilevel"/>
    <w:tmpl w:val="60C6049C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A31352"/>
    <w:multiLevelType w:val="hybridMultilevel"/>
    <w:tmpl w:val="D8DE617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C274C5"/>
    <w:multiLevelType w:val="hybridMultilevel"/>
    <w:tmpl w:val="A02A17C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EA6AA6"/>
    <w:multiLevelType w:val="hybridMultilevel"/>
    <w:tmpl w:val="98E860A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577BA1"/>
    <w:multiLevelType w:val="hybridMultilevel"/>
    <w:tmpl w:val="436E64E6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3C2FB3"/>
    <w:multiLevelType w:val="hybridMultilevel"/>
    <w:tmpl w:val="652008B2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552E9C"/>
    <w:multiLevelType w:val="multilevel"/>
    <w:tmpl w:val="20000025"/>
    <w:lvl w:ilvl="0">
      <w:start w:val="1"/>
      <w:numFmt w:val="decimal"/>
      <w:pStyle w:val="Kop14"/>
      <w:lvlText w:val="%1"/>
      <w:lvlJc w:val="left"/>
      <w:pPr>
        <w:ind w:left="432" w:hanging="432"/>
      </w:pPr>
    </w:lvl>
    <w:lvl w:ilvl="1">
      <w:start w:val="1"/>
      <w:numFmt w:val="decimal"/>
      <w:pStyle w:val="Kop24"/>
      <w:lvlText w:val="%1.%2"/>
      <w:lvlJc w:val="left"/>
      <w:pPr>
        <w:ind w:left="576" w:hanging="576"/>
      </w:pPr>
    </w:lvl>
    <w:lvl w:ilvl="2">
      <w:start w:val="1"/>
      <w:numFmt w:val="decimal"/>
      <w:pStyle w:val="Kop34"/>
      <w:lvlText w:val="%1.%2.%3"/>
      <w:lvlJc w:val="left"/>
      <w:pPr>
        <w:ind w:left="720" w:hanging="720"/>
      </w:pPr>
    </w:lvl>
    <w:lvl w:ilvl="3">
      <w:start w:val="1"/>
      <w:numFmt w:val="decimal"/>
      <w:pStyle w:val="Kop44"/>
      <w:lvlText w:val="%1.%2.%3.%4"/>
      <w:lvlJc w:val="left"/>
      <w:pPr>
        <w:ind w:left="864" w:hanging="864"/>
      </w:pPr>
    </w:lvl>
    <w:lvl w:ilvl="4">
      <w:start w:val="1"/>
      <w:numFmt w:val="decimal"/>
      <w:pStyle w:val="Kop54"/>
      <w:lvlText w:val="%1.%2.%3.%4.%5"/>
      <w:lvlJc w:val="left"/>
      <w:pPr>
        <w:ind w:left="1008" w:hanging="1008"/>
      </w:pPr>
    </w:lvl>
    <w:lvl w:ilvl="5">
      <w:start w:val="1"/>
      <w:numFmt w:val="decimal"/>
      <w:pStyle w:val="Kop64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4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4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4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3"/>
  </w:num>
  <w:num w:numId="5">
    <w:abstractNumId w:val="12"/>
  </w:num>
  <w:num w:numId="6">
    <w:abstractNumId w:val="6"/>
  </w:num>
  <w:num w:numId="7">
    <w:abstractNumId w:val="0"/>
  </w:num>
  <w:num w:numId="8">
    <w:abstractNumId w:val="4"/>
  </w:num>
  <w:num w:numId="9">
    <w:abstractNumId w:val="3"/>
  </w:num>
  <w:num w:numId="10">
    <w:abstractNumId w:val="11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910"/>
    <w:rsid w:val="00041888"/>
    <w:rsid w:val="003A58BB"/>
    <w:rsid w:val="00936910"/>
    <w:rsid w:val="009D6C6B"/>
    <w:rsid w:val="00A6420B"/>
    <w:rsid w:val="00B314C7"/>
    <w:rsid w:val="00C270CB"/>
    <w:rsid w:val="00D72C6E"/>
    <w:rsid w:val="00E8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AF8F"/>
  <w15:chartTrackingRefBased/>
  <w15:docId w15:val="{80603962-4D10-4406-B496-95DEB111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910"/>
    <w:rPr>
      <w:lang w:val="nl-BE"/>
    </w:rPr>
  </w:style>
  <w:style w:type="paragraph" w:styleId="Titre1">
    <w:name w:val="heading 1"/>
    <w:basedOn w:val="Kop14"/>
    <w:next w:val="Normal"/>
    <w:link w:val="Titre1Car"/>
    <w:uiPriority w:val="9"/>
    <w:qFormat/>
    <w:rsid w:val="00936910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Titre2">
    <w:name w:val="heading 2"/>
    <w:basedOn w:val="Kop24"/>
    <w:next w:val="Normal"/>
    <w:link w:val="Titre2Car"/>
    <w:uiPriority w:val="9"/>
    <w:unhideWhenUsed/>
    <w:qFormat/>
    <w:rsid w:val="00936910"/>
    <w:pPr>
      <w:keepNext/>
      <w:keepLines/>
      <w:spacing w:before="40" w:after="0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36910"/>
    <w:rPr>
      <w:rFonts w:eastAsiaTheme="majorEastAsia" w:cstheme="majorBidi"/>
      <w:sz w:val="24"/>
      <w:szCs w:val="32"/>
      <w:lang w:val="nl-BE"/>
    </w:rPr>
  </w:style>
  <w:style w:type="character" w:customStyle="1" w:styleId="Titre2Car">
    <w:name w:val="Titre 2 Car"/>
    <w:basedOn w:val="Policepardfaut"/>
    <w:link w:val="Titre2"/>
    <w:uiPriority w:val="9"/>
    <w:rsid w:val="00936910"/>
    <w:rPr>
      <w:rFonts w:eastAsiaTheme="majorEastAsia" w:cstheme="majorBidi"/>
      <w:b/>
      <w:sz w:val="24"/>
      <w:szCs w:val="26"/>
      <w:lang w:val="nl-BE"/>
    </w:rPr>
  </w:style>
  <w:style w:type="paragraph" w:styleId="Paragraphedeliste">
    <w:name w:val="List Paragraph"/>
    <w:basedOn w:val="Normal"/>
    <w:uiPriority w:val="34"/>
    <w:qFormat/>
    <w:rsid w:val="00936910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69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14">
    <w:name w:val="Kop 14"/>
    <w:basedOn w:val="Normal"/>
    <w:rsid w:val="00936910"/>
    <w:pPr>
      <w:numPr>
        <w:numId w:val="2"/>
      </w:numPr>
    </w:pPr>
  </w:style>
  <w:style w:type="paragraph" w:customStyle="1" w:styleId="Kop24">
    <w:name w:val="Kop 24"/>
    <w:basedOn w:val="Normal"/>
    <w:rsid w:val="00936910"/>
    <w:pPr>
      <w:numPr>
        <w:ilvl w:val="1"/>
        <w:numId w:val="2"/>
      </w:numPr>
    </w:pPr>
  </w:style>
  <w:style w:type="paragraph" w:customStyle="1" w:styleId="Kop34">
    <w:name w:val="Kop 34"/>
    <w:basedOn w:val="Normal"/>
    <w:rsid w:val="00936910"/>
    <w:pPr>
      <w:numPr>
        <w:ilvl w:val="2"/>
        <w:numId w:val="2"/>
      </w:numPr>
    </w:pPr>
  </w:style>
  <w:style w:type="paragraph" w:customStyle="1" w:styleId="Kop44">
    <w:name w:val="Kop 44"/>
    <w:basedOn w:val="Normal"/>
    <w:rsid w:val="00936910"/>
    <w:pPr>
      <w:numPr>
        <w:ilvl w:val="3"/>
        <w:numId w:val="2"/>
      </w:numPr>
    </w:pPr>
  </w:style>
  <w:style w:type="paragraph" w:customStyle="1" w:styleId="Kop54">
    <w:name w:val="Kop 54"/>
    <w:basedOn w:val="Normal"/>
    <w:rsid w:val="00936910"/>
    <w:pPr>
      <w:numPr>
        <w:ilvl w:val="4"/>
        <w:numId w:val="2"/>
      </w:numPr>
    </w:pPr>
  </w:style>
  <w:style w:type="paragraph" w:customStyle="1" w:styleId="Kop64">
    <w:name w:val="Kop 64"/>
    <w:basedOn w:val="Normal"/>
    <w:rsid w:val="00936910"/>
    <w:pPr>
      <w:numPr>
        <w:ilvl w:val="5"/>
        <w:numId w:val="2"/>
      </w:numPr>
    </w:pPr>
  </w:style>
  <w:style w:type="paragraph" w:customStyle="1" w:styleId="Kop74">
    <w:name w:val="Kop 74"/>
    <w:basedOn w:val="Normal"/>
    <w:rsid w:val="00936910"/>
    <w:pPr>
      <w:numPr>
        <w:ilvl w:val="6"/>
        <w:numId w:val="2"/>
      </w:numPr>
    </w:pPr>
  </w:style>
  <w:style w:type="paragraph" w:customStyle="1" w:styleId="Kop84">
    <w:name w:val="Kop 84"/>
    <w:basedOn w:val="Normal"/>
    <w:rsid w:val="00936910"/>
    <w:pPr>
      <w:numPr>
        <w:ilvl w:val="7"/>
        <w:numId w:val="2"/>
      </w:numPr>
    </w:pPr>
  </w:style>
  <w:style w:type="paragraph" w:customStyle="1" w:styleId="Kop94">
    <w:name w:val="Kop 94"/>
    <w:basedOn w:val="Normal"/>
    <w:rsid w:val="00936910"/>
    <w:pPr>
      <w:numPr>
        <w:ilvl w:val="8"/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93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910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9369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910"/>
    <w:rPr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2" ma:contentTypeDescription="Een nieuw document maken." ma:contentTypeScope="" ma:versionID="04bf483102e2bd170a0182230bb51192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a3bc3d63ca31e2645277388bb1cd05fd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19AEAC-DB7A-467A-AAB1-7FA655D865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790070-FB80-4BB2-B7CE-17F4AB6CE1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34C45-0C72-45A3-A69A-C1DB7EBE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954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Wlodarski</dc:creator>
  <cp:keywords/>
  <dc:description/>
  <cp:lastModifiedBy>Odette Wlodarski</cp:lastModifiedBy>
  <cp:revision>6</cp:revision>
  <dcterms:created xsi:type="dcterms:W3CDTF">2020-06-17T06:40:00Z</dcterms:created>
  <dcterms:modified xsi:type="dcterms:W3CDTF">2020-06-19T10:23:00Z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0x0101004BE28EA651FC534A8963000AFF4CBB74</vt:lpwstr>
  </property>
</Properties>
</file>