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17537" w14:textId="106BC08C" w:rsidR="00AB498E" w:rsidRPr="0013720C" w:rsidRDefault="00AB498E" w:rsidP="00AB498E">
      <w:pPr>
        <w:pStyle w:val="Titre1"/>
        <w:numPr>
          <w:ilvl w:val="0"/>
          <w:numId w:val="0"/>
        </w:numPr>
        <w:spacing w:before="0"/>
        <w:ind w:left="360" w:hanging="360"/>
        <w:rPr>
          <w:b/>
          <w:sz w:val="28"/>
          <w:szCs w:val="36"/>
          <w:lang w:val="fr-BE"/>
        </w:rPr>
      </w:pPr>
      <w:bookmarkStart w:id="0" w:name="_Toc17725394"/>
      <w:r w:rsidRPr="0013720C">
        <w:rPr>
          <w:b/>
          <w:sz w:val="28"/>
          <w:szCs w:val="36"/>
          <w:lang w:val="fr-BE"/>
        </w:rPr>
        <w:t>Elingueur : risques et moyens de prévention</w:t>
      </w:r>
      <w:bookmarkEnd w:id="0"/>
    </w:p>
    <w:p w14:paraId="370A7BF9" w14:textId="77777777" w:rsidR="00AB498E" w:rsidRPr="004C7740" w:rsidRDefault="00AB498E" w:rsidP="00AB498E">
      <w:pPr>
        <w:pStyle w:val="Paragraphedeliste"/>
        <w:numPr>
          <w:ilvl w:val="0"/>
          <w:numId w:val="3"/>
        </w:numPr>
        <w:contextualSpacing w:val="0"/>
        <w:rPr>
          <w:vanish/>
          <w:lang w:val="fr-BE"/>
        </w:rPr>
      </w:pPr>
    </w:p>
    <w:p w14:paraId="2842D3C1" w14:textId="1C305116" w:rsidR="00AB498E" w:rsidRPr="004C7740" w:rsidRDefault="00AB498E" w:rsidP="00AB498E">
      <w:pPr>
        <w:pStyle w:val="Titre2"/>
        <w:numPr>
          <w:ilvl w:val="0"/>
          <w:numId w:val="0"/>
        </w:numPr>
        <w:spacing w:before="0" w:after="240"/>
        <w:ind w:left="576" w:hanging="576"/>
        <w:rPr>
          <w:lang w:val="fr-BE"/>
        </w:rPr>
      </w:pPr>
    </w:p>
    <w:tbl>
      <w:tblPr>
        <w:tblStyle w:val="Grilledutableau"/>
        <w:tblW w:w="14737" w:type="dxa"/>
        <w:tblLayout w:type="fixed"/>
        <w:tblLook w:val="04A0" w:firstRow="1" w:lastRow="0" w:firstColumn="1" w:lastColumn="0" w:noHBand="0" w:noVBand="1"/>
      </w:tblPr>
      <w:tblGrid>
        <w:gridCol w:w="2972"/>
        <w:gridCol w:w="2126"/>
        <w:gridCol w:w="1276"/>
        <w:gridCol w:w="4961"/>
        <w:gridCol w:w="1701"/>
        <w:gridCol w:w="1701"/>
      </w:tblGrid>
      <w:tr w:rsidR="00AB498E" w:rsidRPr="004C7740" w14:paraId="0817A9A4" w14:textId="77777777" w:rsidTr="00AB498E">
        <w:tc>
          <w:tcPr>
            <w:tcW w:w="14737" w:type="dxa"/>
            <w:gridSpan w:val="6"/>
            <w:shd w:val="clear" w:color="auto" w:fill="D9E2F3" w:themeFill="accent1" w:themeFillTint="33"/>
          </w:tcPr>
          <w:p w14:paraId="26C253DA" w14:textId="77777777" w:rsidR="00AB498E" w:rsidRPr="004C7740" w:rsidRDefault="00AB498E" w:rsidP="00E542A8">
            <w:pPr>
              <w:jc w:val="both"/>
              <w:rPr>
                <w:b/>
                <w:lang w:val="fr-BE"/>
              </w:rPr>
            </w:pPr>
            <w:bookmarkStart w:id="1" w:name="_Hlk3452121"/>
            <w:r w:rsidRPr="004C7740">
              <w:rPr>
                <w:b/>
                <w:lang w:val="fr-BE"/>
              </w:rPr>
              <w:t>Élingueur</w:t>
            </w:r>
          </w:p>
        </w:tc>
      </w:tr>
      <w:tr w:rsidR="00AB498E" w:rsidRPr="004C7740" w14:paraId="6582739A" w14:textId="77777777" w:rsidTr="00AB498E">
        <w:tc>
          <w:tcPr>
            <w:tcW w:w="2972" w:type="dxa"/>
          </w:tcPr>
          <w:p w14:paraId="0ED3AB15" w14:textId="77777777" w:rsidR="00AB498E" w:rsidRPr="004C7740" w:rsidRDefault="00AB498E" w:rsidP="00E542A8">
            <w:pPr>
              <w:jc w:val="both"/>
              <w:rPr>
                <w:b/>
                <w:lang w:val="fr-BE"/>
              </w:rPr>
            </w:pPr>
            <w:r w:rsidRPr="004C7740">
              <w:rPr>
                <w:b/>
                <w:lang w:val="fr-BE"/>
              </w:rPr>
              <w:t>Dangers</w:t>
            </w:r>
          </w:p>
        </w:tc>
        <w:tc>
          <w:tcPr>
            <w:tcW w:w="2126" w:type="dxa"/>
          </w:tcPr>
          <w:p w14:paraId="69570870" w14:textId="77777777" w:rsidR="00AB498E" w:rsidRPr="004C7740" w:rsidRDefault="00AB498E" w:rsidP="00E542A8">
            <w:pPr>
              <w:jc w:val="both"/>
              <w:rPr>
                <w:b/>
                <w:lang w:val="fr-BE"/>
              </w:rPr>
            </w:pPr>
            <w:r w:rsidRPr="004C7740">
              <w:rPr>
                <w:b/>
                <w:lang w:val="fr-BE"/>
              </w:rPr>
              <w:t>Risques</w:t>
            </w:r>
          </w:p>
        </w:tc>
        <w:tc>
          <w:tcPr>
            <w:tcW w:w="1276" w:type="dxa"/>
          </w:tcPr>
          <w:p w14:paraId="4AEB9949" w14:textId="77777777" w:rsidR="00AB498E" w:rsidRPr="004C7740" w:rsidRDefault="00AB498E" w:rsidP="00E542A8">
            <w:pPr>
              <w:jc w:val="both"/>
              <w:rPr>
                <w:b/>
                <w:lang w:val="fr-BE"/>
              </w:rPr>
            </w:pPr>
            <w:r w:rsidRPr="004C7740">
              <w:rPr>
                <w:b/>
                <w:lang w:val="fr-BE"/>
              </w:rPr>
              <w:t xml:space="preserve">Évaluation des risques </w:t>
            </w:r>
          </w:p>
        </w:tc>
        <w:tc>
          <w:tcPr>
            <w:tcW w:w="4961" w:type="dxa"/>
          </w:tcPr>
          <w:p w14:paraId="4B64753D" w14:textId="77777777" w:rsidR="00AB498E" w:rsidRPr="004C7740" w:rsidRDefault="00AB498E" w:rsidP="00E542A8">
            <w:pPr>
              <w:jc w:val="both"/>
              <w:rPr>
                <w:b/>
                <w:lang w:val="fr-BE"/>
              </w:rPr>
            </w:pPr>
            <w:r w:rsidRPr="004C7740">
              <w:rPr>
                <w:b/>
                <w:lang w:val="fr-BE"/>
              </w:rPr>
              <w:t xml:space="preserve">Mesures de prévention  </w:t>
            </w:r>
          </w:p>
        </w:tc>
        <w:tc>
          <w:tcPr>
            <w:tcW w:w="1701" w:type="dxa"/>
          </w:tcPr>
          <w:p w14:paraId="67F27854" w14:textId="77777777" w:rsidR="00AB498E" w:rsidRPr="004C7740" w:rsidRDefault="00AB498E" w:rsidP="00E542A8">
            <w:pPr>
              <w:jc w:val="both"/>
              <w:rPr>
                <w:b/>
                <w:lang w:val="fr-BE"/>
              </w:rPr>
            </w:pPr>
            <w:r w:rsidRPr="004C7740">
              <w:rPr>
                <w:b/>
                <w:lang w:val="fr-BE"/>
              </w:rPr>
              <w:t>Évaluation risque résiduel</w:t>
            </w:r>
          </w:p>
        </w:tc>
        <w:tc>
          <w:tcPr>
            <w:tcW w:w="1701" w:type="dxa"/>
          </w:tcPr>
          <w:p w14:paraId="5BFF202E" w14:textId="77777777" w:rsidR="00AB498E" w:rsidRPr="004C7740" w:rsidRDefault="00AB498E" w:rsidP="00E542A8">
            <w:pPr>
              <w:jc w:val="both"/>
              <w:rPr>
                <w:b/>
                <w:lang w:val="fr-BE"/>
              </w:rPr>
            </w:pPr>
            <w:r w:rsidRPr="004C7740">
              <w:rPr>
                <w:b/>
                <w:lang w:val="fr-BE"/>
              </w:rPr>
              <w:t>Remarques</w:t>
            </w:r>
          </w:p>
        </w:tc>
      </w:tr>
      <w:bookmarkEnd w:id="1"/>
      <w:tr w:rsidR="00AB498E" w:rsidRPr="004C7740" w14:paraId="28B5BAFF" w14:textId="77777777" w:rsidTr="00AB498E">
        <w:tc>
          <w:tcPr>
            <w:tcW w:w="2972" w:type="dxa"/>
          </w:tcPr>
          <w:p w14:paraId="5899D48E" w14:textId="77777777" w:rsidR="00AB498E" w:rsidRPr="004C7740" w:rsidRDefault="00AB498E" w:rsidP="0013720C">
            <w:pPr>
              <w:rPr>
                <w:lang w:val="fr-BE"/>
              </w:rPr>
            </w:pPr>
            <w:r w:rsidRPr="004C7740">
              <w:rPr>
                <w:lang w:val="fr-BE"/>
              </w:rPr>
              <w:t>Décrochage de la charge, chute d’objets</w:t>
            </w:r>
          </w:p>
        </w:tc>
        <w:tc>
          <w:tcPr>
            <w:tcW w:w="2126" w:type="dxa"/>
          </w:tcPr>
          <w:p w14:paraId="207C1DDC" w14:textId="77777777" w:rsidR="00AB498E" w:rsidRPr="004C7740" w:rsidRDefault="00AB498E" w:rsidP="0013720C">
            <w:pPr>
              <w:pStyle w:val="Paragraphedeliste"/>
              <w:numPr>
                <w:ilvl w:val="0"/>
                <w:numId w:val="2"/>
              </w:numPr>
              <w:rPr>
                <w:lang w:val="fr-BE"/>
              </w:rPr>
            </w:pPr>
            <w:r w:rsidRPr="004C7740">
              <w:rPr>
                <w:lang w:val="fr-BE"/>
              </w:rPr>
              <w:t>Blessures corporelles graves</w:t>
            </w:r>
          </w:p>
          <w:p w14:paraId="54924555" w14:textId="77777777" w:rsidR="00AB498E" w:rsidRPr="004C7740" w:rsidRDefault="00AB498E" w:rsidP="0013720C">
            <w:pPr>
              <w:pStyle w:val="Paragraphedeliste"/>
              <w:numPr>
                <w:ilvl w:val="0"/>
                <w:numId w:val="2"/>
              </w:numPr>
              <w:rPr>
                <w:lang w:val="fr-BE"/>
              </w:rPr>
            </w:pPr>
            <w:r w:rsidRPr="004C7740">
              <w:rPr>
                <w:lang w:val="fr-BE"/>
              </w:rPr>
              <w:t xml:space="preserve">Écrasement </w:t>
            </w:r>
          </w:p>
          <w:p w14:paraId="0A7AA181" w14:textId="77777777" w:rsidR="00AB498E" w:rsidRPr="004C7740" w:rsidRDefault="00AB498E" w:rsidP="0013720C">
            <w:pPr>
              <w:pStyle w:val="Paragraphedeliste"/>
              <w:numPr>
                <w:ilvl w:val="0"/>
                <w:numId w:val="2"/>
              </w:numPr>
              <w:rPr>
                <w:lang w:val="fr-BE"/>
              </w:rPr>
            </w:pPr>
            <w:r w:rsidRPr="004C7740">
              <w:rPr>
                <w:lang w:val="fr-BE"/>
              </w:rPr>
              <w:t xml:space="preserve">Décès </w:t>
            </w:r>
          </w:p>
        </w:tc>
        <w:tc>
          <w:tcPr>
            <w:tcW w:w="1276" w:type="dxa"/>
          </w:tcPr>
          <w:p w14:paraId="1D927A41" w14:textId="77777777" w:rsidR="00AB498E" w:rsidRPr="004C7740" w:rsidRDefault="00AB498E" w:rsidP="0013720C">
            <w:pPr>
              <w:rPr>
                <w:lang w:val="fr-BE"/>
              </w:rPr>
            </w:pPr>
          </w:p>
        </w:tc>
        <w:tc>
          <w:tcPr>
            <w:tcW w:w="4961" w:type="dxa"/>
          </w:tcPr>
          <w:p w14:paraId="1768BF6C" w14:textId="77777777" w:rsidR="00AB498E" w:rsidRPr="004C7740" w:rsidRDefault="00AB498E" w:rsidP="0013720C">
            <w:pPr>
              <w:pStyle w:val="Paragraphedeliste"/>
              <w:numPr>
                <w:ilvl w:val="0"/>
                <w:numId w:val="2"/>
              </w:numPr>
              <w:rPr>
                <w:lang w:val="fr-BE"/>
              </w:rPr>
            </w:pPr>
            <w:r w:rsidRPr="004C7740">
              <w:rPr>
                <w:lang w:val="fr-BE"/>
              </w:rPr>
              <w:t>S’assurer que le travailleur dispose bien des connaissances et des compétences nécessaires pour pouvoir occuper le poste de travail.</w:t>
            </w:r>
          </w:p>
          <w:p w14:paraId="2884415E" w14:textId="77777777" w:rsidR="00AB498E" w:rsidRPr="004C7740" w:rsidRDefault="00AB498E" w:rsidP="0013720C">
            <w:pPr>
              <w:pStyle w:val="Paragraphedeliste"/>
              <w:numPr>
                <w:ilvl w:val="0"/>
                <w:numId w:val="2"/>
              </w:numPr>
              <w:rPr>
                <w:lang w:val="fr-BE"/>
              </w:rPr>
            </w:pPr>
            <w:r w:rsidRPr="004C7740">
              <w:rPr>
                <w:lang w:val="fr-BE"/>
              </w:rPr>
              <w:t>Rappeler à tous les nouveaux travailleurs, les points d’attention et les interdictions formelles à respecter.</w:t>
            </w:r>
          </w:p>
          <w:p w14:paraId="74CC7049" w14:textId="77777777" w:rsidR="00AB498E" w:rsidRPr="004C7740" w:rsidRDefault="00AB498E" w:rsidP="0013720C">
            <w:pPr>
              <w:pStyle w:val="Paragraphedeliste"/>
              <w:numPr>
                <w:ilvl w:val="0"/>
                <w:numId w:val="2"/>
              </w:numPr>
              <w:rPr>
                <w:lang w:val="fr-BE"/>
              </w:rPr>
            </w:pPr>
            <w:r w:rsidRPr="004C7740">
              <w:rPr>
                <w:lang w:val="fr-BE"/>
              </w:rPr>
              <w:t>Former à la maîtrise des méthodes et du matériel d’accrochage en fonction du type de charge (avec ou sans point d’accrochage, forme, volume, masse, etc.).</w:t>
            </w:r>
          </w:p>
          <w:p w14:paraId="61FCA91D" w14:textId="77777777" w:rsidR="00AB498E" w:rsidRPr="004C7740" w:rsidRDefault="00AB498E" w:rsidP="0013720C">
            <w:pPr>
              <w:pStyle w:val="Paragraphedeliste"/>
              <w:numPr>
                <w:ilvl w:val="0"/>
                <w:numId w:val="2"/>
              </w:numPr>
              <w:rPr>
                <w:lang w:val="fr-BE"/>
              </w:rPr>
            </w:pPr>
            <w:r w:rsidRPr="004C7740">
              <w:rPr>
                <w:lang w:val="fr-BE"/>
              </w:rPr>
              <w:t>Mettre le matériel d’élingage adapté à disposition, accompagné de la notice d’utilisation.</w:t>
            </w:r>
          </w:p>
          <w:p w14:paraId="34F09C78" w14:textId="77777777" w:rsidR="00AB498E" w:rsidRPr="004C7740" w:rsidRDefault="00AB498E" w:rsidP="0013720C">
            <w:pPr>
              <w:pStyle w:val="Paragraphedeliste"/>
              <w:numPr>
                <w:ilvl w:val="0"/>
                <w:numId w:val="2"/>
              </w:numPr>
              <w:rPr>
                <w:lang w:val="fr-BE"/>
              </w:rPr>
            </w:pPr>
            <w:r w:rsidRPr="004C7740">
              <w:rPr>
                <w:lang w:val="fr-BE"/>
              </w:rPr>
              <w:t xml:space="preserve">Prévoir le cerclage systématique des charges multiples pour solidariser l’ensemble de la charge. </w:t>
            </w:r>
          </w:p>
          <w:p w14:paraId="0DAF86C2" w14:textId="77777777" w:rsidR="00AB498E" w:rsidRPr="004C7740" w:rsidRDefault="00AB498E" w:rsidP="0013720C">
            <w:pPr>
              <w:pStyle w:val="Paragraphedeliste"/>
              <w:numPr>
                <w:ilvl w:val="0"/>
                <w:numId w:val="2"/>
              </w:numPr>
              <w:rPr>
                <w:lang w:val="fr-BE"/>
              </w:rPr>
            </w:pPr>
            <w:r w:rsidRPr="004C7740">
              <w:rPr>
                <w:lang w:val="fr-BE"/>
              </w:rPr>
              <w:t>Organiser les zones de travail afin qu’elles soient indépendantes du circuit de déplacement des charges ou prévoir une procédure d’écartement des personnes de la zone parcourue lors de la manœuvre et faire dégager toute personne de l’environnement de travail durant la manœuvre.</w:t>
            </w:r>
          </w:p>
          <w:p w14:paraId="21D167D1" w14:textId="77777777" w:rsidR="00AB498E" w:rsidRPr="004C7740" w:rsidRDefault="00AB498E" w:rsidP="0013720C">
            <w:pPr>
              <w:pStyle w:val="Paragraphedeliste"/>
              <w:numPr>
                <w:ilvl w:val="0"/>
                <w:numId w:val="2"/>
              </w:numPr>
              <w:rPr>
                <w:lang w:val="fr-BE"/>
              </w:rPr>
            </w:pPr>
            <w:r w:rsidRPr="004C7740">
              <w:rPr>
                <w:lang w:val="fr-BE"/>
              </w:rPr>
              <w:t xml:space="preserve">Porter des équipements de protection individuelle : casque et chaussures de sécurité. </w:t>
            </w:r>
          </w:p>
          <w:p w14:paraId="79887E43" w14:textId="77777777" w:rsidR="00AB498E" w:rsidRPr="004C7740" w:rsidRDefault="00AB498E" w:rsidP="0013720C">
            <w:pPr>
              <w:pStyle w:val="Paragraphedeliste"/>
              <w:ind w:left="360"/>
              <w:rPr>
                <w:lang w:val="fr-BE"/>
              </w:rPr>
            </w:pPr>
          </w:p>
        </w:tc>
        <w:tc>
          <w:tcPr>
            <w:tcW w:w="1701" w:type="dxa"/>
          </w:tcPr>
          <w:p w14:paraId="0460B92B" w14:textId="77777777" w:rsidR="00AB498E" w:rsidRPr="004C7740" w:rsidRDefault="00AB498E" w:rsidP="00E542A8">
            <w:pPr>
              <w:jc w:val="both"/>
              <w:rPr>
                <w:lang w:val="fr-BE"/>
              </w:rPr>
            </w:pPr>
          </w:p>
        </w:tc>
        <w:tc>
          <w:tcPr>
            <w:tcW w:w="1701" w:type="dxa"/>
          </w:tcPr>
          <w:p w14:paraId="0DAC5E99" w14:textId="77777777" w:rsidR="00AB498E" w:rsidRPr="004C7740" w:rsidRDefault="00AB498E" w:rsidP="00E542A8">
            <w:pPr>
              <w:jc w:val="both"/>
              <w:rPr>
                <w:lang w:val="fr-BE"/>
              </w:rPr>
            </w:pPr>
          </w:p>
        </w:tc>
      </w:tr>
      <w:tr w:rsidR="00AB498E" w:rsidRPr="004C7740" w14:paraId="23141453" w14:textId="77777777" w:rsidTr="00AB498E">
        <w:tc>
          <w:tcPr>
            <w:tcW w:w="2972" w:type="dxa"/>
          </w:tcPr>
          <w:p w14:paraId="5ED390F1" w14:textId="77777777" w:rsidR="00AB498E" w:rsidRPr="004C7740" w:rsidRDefault="00AB498E" w:rsidP="0013720C">
            <w:pPr>
              <w:rPr>
                <w:lang w:val="fr-BE"/>
              </w:rPr>
            </w:pPr>
            <w:r w:rsidRPr="004C7740">
              <w:rPr>
                <w:lang w:val="fr-BE"/>
              </w:rPr>
              <w:lastRenderedPageBreak/>
              <w:t xml:space="preserve">Rupture de l’élingue, chute d’objets </w:t>
            </w:r>
          </w:p>
        </w:tc>
        <w:tc>
          <w:tcPr>
            <w:tcW w:w="2126" w:type="dxa"/>
          </w:tcPr>
          <w:p w14:paraId="756C5240" w14:textId="77777777" w:rsidR="00AB498E" w:rsidRPr="004C7740" w:rsidRDefault="00AB498E" w:rsidP="0013720C">
            <w:pPr>
              <w:pStyle w:val="Paragraphedeliste"/>
              <w:numPr>
                <w:ilvl w:val="0"/>
                <w:numId w:val="2"/>
              </w:numPr>
              <w:rPr>
                <w:lang w:val="fr-BE"/>
              </w:rPr>
            </w:pPr>
            <w:r w:rsidRPr="004C7740">
              <w:rPr>
                <w:lang w:val="fr-BE"/>
              </w:rPr>
              <w:t>Blessures corporelles graves</w:t>
            </w:r>
          </w:p>
          <w:p w14:paraId="579C663F" w14:textId="77777777" w:rsidR="00AB498E" w:rsidRPr="004C7740" w:rsidRDefault="00AB498E" w:rsidP="0013720C">
            <w:pPr>
              <w:pStyle w:val="Paragraphedeliste"/>
              <w:numPr>
                <w:ilvl w:val="0"/>
                <w:numId w:val="2"/>
              </w:numPr>
              <w:rPr>
                <w:lang w:val="fr-BE"/>
              </w:rPr>
            </w:pPr>
            <w:r w:rsidRPr="004C7740">
              <w:rPr>
                <w:lang w:val="fr-BE"/>
              </w:rPr>
              <w:t xml:space="preserve">Écrasement  </w:t>
            </w:r>
          </w:p>
          <w:p w14:paraId="260B689D" w14:textId="77777777" w:rsidR="00AB498E" w:rsidRPr="004C7740" w:rsidRDefault="00AB498E" w:rsidP="0013720C">
            <w:pPr>
              <w:pStyle w:val="Paragraphedeliste"/>
              <w:numPr>
                <w:ilvl w:val="0"/>
                <w:numId w:val="2"/>
              </w:numPr>
              <w:rPr>
                <w:lang w:val="fr-BE"/>
              </w:rPr>
            </w:pPr>
            <w:r w:rsidRPr="004C7740">
              <w:rPr>
                <w:lang w:val="fr-BE"/>
              </w:rPr>
              <w:t>Décès</w:t>
            </w:r>
          </w:p>
        </w:tc>
        <w:tc>
          <w:tcPr>
            <w:tcW w:w="1276" w:type="dxa"/>
          </w:tcPr>
          <w:p w14:paraId="1EB90DD4" w14:textId="77777777" w:rsidR="00AB498E" w:rsidRPr="004C7740" w:rsidRDefault="00AB498E" w:rsidP="0013720C">
            <w:pPr>
              <w:rPr>
                <w:lang w:val="fr-BE"/>
              </w:rPr>
            </w:pPr>
          </w:p>
        </w:tc>
        <w:tc>
          <w:tcPr>
            <w:tcW w:w="4961" w:type="dxa"/>
          </w:tcPr>
          <w:p w14:paraId="3C5439BC" w14:textId="77777777" w:rsidR="00AB498E" w:rsidRPr="004C7740" w:rsidRDefault="00AB498E" w:rsidP="0013720C">
            <w:pPr>
              <w:pStyle w:val="Paragraphedeliste"/>
              <w:numPr>
                <w:ilvl w:val="0"/>
                <w:numId w:val="2"/>
              </w:numPr>
              <w:rPr>
                <w:lang w:val="fr-BE"/>
              </w:rPr>
            </w:pPr>
            <w:r w:rsidRPr="004C7740">
              <w:rPr>
                <w:lang w:val="fr-BE"/>
              </w:rPr>
              <w:t>Mettre en place une politique d’achat pour assurer l’acquisition de matériel répondant aux normes de sécurité.</w:t>
            </w:r>
          </w:p>
          <w:p w14:paraId="0637B239" w14:textId="77777777" w:rsidR="00AB498E" w:rsidRPr="004C7740" w:rsidRDefault="00AB498E" w:rsidP="0013720C">
            <w:pPr>
              <w:pStyle w:val="Paragraphedeliste"/>
              <w:numPr>
                <w:ilvl w:val="0"/>
                <w:numId w:val="2"/>
              </w:numPr>
              <w:rPr>
                <w:lang w:val="fr-BE"/>
              </w:rPr>
            </w:pPr>
            <w:r w:rsidRPr="004C7740">
              <w:rPr>
                <w:lang w:val="fr-BE"/>
              </w:rPr>
              <w:t xml:space="preserve">Organiser les contrôles périodiques des accessoires de levage par un service externe de contrôle technique. Consigner les résultats de ces contrôles. </w:t>
            </w:r>
          </w:p>
          <w:p w14:paraId="21BCEEC7" w14:textId="77777777" w:rsidR="00AB498E" w:rsidRPr="004C7740" w:rsidRDefault="00AB498E" w:rsidP="0013720C">
            <w:pPr>
              <w:pStyle w:val="Paragraphedeliste"/>
              <w:numPr>
                <w:ilvl w:val="0"/>
                <w:numId w:val="2"/>
              </w:numPr>
              <w:rPr>
                <w:lang w:val="fr-BE"/>
              </w:rPr>
            </w:pPr>
            <w:r w:rsidRPr="004C7740">
              <w:rPr>
                <w:lang w:val="fr-BE"/>
              </w:rPr>
              <w:t xml:space="preserve">Faire vérifier, par une personne compétente, le matériel à chaque fois qu’un événement exceptionnel a pu avoir des conséquences dommageables. (Consigner les résultats de ces vérifications). </w:t>
            </w:r>
          </w:p>
          <w:p w14:paraId="6821195D" w14:textId="77777777" w:rsidR="00AB498E" w:rsidRPr="004C7740" w:rsidRDefault="00AB498E" w:rsidP="0013720C">
            <w:pPr>
              <w:pStyle w:val="Paragraphedeliste"/>
              <w:numPr>
                <w:ilvl w:val="0"/>
                <w:numId w:val="2"/>
              </w:numPr>
              <w:rPr>
                <w:lang w:val="fr-BE"/>
              </w:rPr>
            </w:pPr>
            <w:r w:rsidRPr="004C7740">
              <w:rPr>
                <w:lang w:val="fr-BE"/>
              </w:rPr>
              <w:t xml:space="preserve">Gérer et stocker adéquatement les élingues : </w:t>
            </w:r>
          </w:p>
          <w:p w14:paraId="58D6F327" w14:textId="77777777" w:rsidR="00AB498E" w:rsidRPr="004C7740" w:rsidRDefault="00AB498E" w:rsidP="0013720C">
            <w:pPr>
              <w:pStyle w:val="Paragraphedeliste"/>
              <w:numPr>
                <w:ilvl w:val="0"/>
                <w:numId w:val="4"/>
              </w:numPr>
              <w:rPr>
                <w:lang w:val="fr-BE"/>
              </w:rPr>
            </w:pPr>
            <w:r w:rsidRPr="004C7740">
              <w:rPr>
                <w:lang w:val="fr-BE"/>
              </w:rPr>
              <w:t xml:space="preserve">Identification présente pour chaque élingue (CMU, marquage CE et norme de sécurité, notice d’instruction/utilisation du fabricant, etc.). </w:t>
            </w:r>
          </w:p>
          <w:p w14:paraId="493B0E5C" w14:textId="77777777" w:rsidR="00AB498E" w:rsidRPr="004C7740" w:rsidRDefault="00AB498E" w:rsidP="0013720C">
            <w:pPr>
              <w:pStyle w:val="Paragraphedeliste"/>
              <w:numPr>
                <w:ilvl w:val="0"/>
                <w:numId w:val="4"/>
              </w:numPr>
              <w:rPr>
                <w:lang w:val="fr-BE"/>
              </w:rPr>
            </w:pPr>
            <w:r w:rsidRPr="004C7740">
              <w:rPr>
                <w:lang w:val="fr-BE"/>
              </w:rPr>
              <w:t>Stockage dans des locaux secs, à l’abri des rongeurs, hors températures extrêmes, UV et salissures, etc.</w:t>
            </w:r>
          </w:p>
          <w:p w14:paraId="79A2CE8A" w14:textId="77777777" w:rsidR="00AB498E" w:rsidRPr="004C7740" w:rsidRDefault="00AB498E" w:rsidP="0013720C">
            <w:pPr>
              <w:pStyle w:val="Paragraphedeliste"/>
              <w:numPr>
                <w:ilvl w:val="0"/>
                <w:numId w:val="4"/>
              </w:numPr>
              <w:rPr>
                <w:lang w:val="fr-BE"/>
              </w:rPr>
            </w:pPr>
            <w:r w:rsidRPr="004C7740">
              <w:rPr>
                <w:lang w:val="fr-BE"/>
              </w:rPr>
              <w:t>Graissage des élingues métalliques avant le stockage et nettoyage avant l’utilisation.</w:t>
            </w:r>
          </w:p>
          <w:p w14:paraId="75DA6C48" w14:textId="77777777" w:rsidR="00AB498E" w:rsidRPr="004C7740" w:rsidRDefault="00AB498E" w:rsidP="0013720C">
            <w:pPr>
              <w:pStyle w:val="Paragraphedeliste"/>
              <w:numPr>
                <w:ilvl w:val="0"/>
                <w:numId w:val="2"/>
              </w:numPr>
              <w:rPr>
                <w:lang w:val="fr-BE"/>
              </w:rPr>
            </w:pPr>
            <w:r w:rsidRPr="004C7740">
              <w:rPr>
                <w:lang w:val="fr-BE"/>
              </w:rPr>
              <w:t>Instaurer un contrôle visuel systématique de l’état des élingues avant leur utilisation (fournir les consignes pour le contrôle visuel et mettre à disposition les résultats des contrôles périodiques).</w:t>
            </w:r>
          </w:p>
          <w:p w14:paraId="5778F294" w14:textId="77777777" w:rsidR="00AB498E" w:rsidRPr="004C7740" w:rsidRDefault="00AB498E" w:rsidP="0013720C">
            <w:pPr>
              <w:pStyle w:val="Paragraphedeliste"/>
              <w:numPr>
                <w:ilvl w:val="0"/>
                <w:numId w:val="2"/>
              </w:numPr>
              <w:rPr>
                <w:lang w:val="fr-BE"/>
              </w:rPr>
            </w:pPr>
            <w:r w:rsidRPr="004C7740">
              <w:rPr>
                <w:lang w:val="fr-BE"/>
              </w:rPr>
              <w:t>Instaurer une procédure de mise au rebut systématique des élingues présentant des signes d’usure (fibres satinées, coutures abîmées, déchirures, moisissures, décoloration des fils, corrosion, déformation des maillons, etc.) et des élingues non identifiées</w:t>
            </w:r>
          </w:p>
          <w:p w14:paraId="55FEEB4F" w14:textId="77777777" w:rsidR="00AB498E" w:rsidRPr="004C7740" w:rsidRDefault="00AB498E" w:rsidP="0013720C">
            <w:pPr>
              <w:pStyle w:val="Paragraphedeliste"/>
              <w:numPr>
                <w:ilvl w:val="0"/>
                <w:numId w:val="2"/>
              </w:numPr>
              <w:rPr>
                <w:lang w:val="fr-BE"/>
              </w:rPr>
            </w:pPr>
            <w:r w:rsidRPr="004C7740">
              <w:rPr>
                <w:lang w:val="fr-BE"/>
              </w:rPr>
              <w:t>Interdire le martelage des chaînes, les réparations « maison », la mise en contact des câbles avec des produits corrosifs.</w:t>
            </w:r>
          </w:p>
          <w:p w14:paraId="2F9623D8" w14:textId="77777777" w:rsidR="00AB498E" w:rsidRPr="004C7740" w:rsidRDefault="00AB498E" w:rsidP="0013720C">
            <w:pPr>
              <w:pStyle w:val="Paragraphedeliste"/>
              <w:numPr>
                <w:ilvl w:val="0"/>
                <w:numId w:val="2"/>
              </w:numPr>
              <w:rPr>
                <w:lang w:val="fr-BE"/>
              </w:rPr>
            </w:pPr>
            <w:r w:rsidRPr="004C7740">
              <w:rPr>
                <w:lang w:val="fr-BE"/>
              </w:rPr>
              <w:t xml:space="preserve">Appliquer systématiquement d’un coefficient de sécurité à la CMU. </w:t>
            </w:r>
          </w:p>
          <w:p w14:paraId="2DE9EFC2" w14:textId="77777777" w:rsidR="00AB498E" w:rsidRPr="004C7740" w:rsidRDefault="00AB498E" w:rsidP="0013720C">
            <w:pPr>
              <w:pStyle w:val="Paragraphedeliste"/>
              <w:numPr>
                <w:ilvl w:val="0"/>
                <w:numId w:val="2"/>
              </w:numPr>
              <w:rPr>
                <w:lang w:val="fr-BE"/>
              </w:rPr>
            </w:pPr>
            <w:r w:rsidRPr="004C7740">
              <w:rPr>
                <w:lang w:val="fr-BE"/>
              </w:rPr>
              <w:t>Former et informer sur les procédures de stockage, de vérification, de mise au rebut, etc.</w:t>
            </w:r>
          </w:p>
          <w:p w14:paraId="029FBA99" w14:textId="79C6EFDB" w:rsidR="00AB498E" w:rsidRPr="004C7740" w:rsidRDefault="00AB498E" w:rsidP="0013720C">
            <w:pPr>
              <w:pStyle w:val="Paragraphedeliste"/>
              <w:numPr>
                <w:ilvl w:val="0"/>
                <w:numId w:val="2"/>
              </w:numPr>
              <w:rPr>
                <w:lang w:val="fr-BE"/>
              </w:rPr>
            </w:pPr>
            <w:r w:rsidRPr="004C7740">
              <w:rPr>
                <w:lang w:val="fr-BE"/>
              </w:rPr>
              <w:t>Porter un casque de protection, des chaussures de sécurité (type S3), des gants de protection contre les risques mécaniques, l’abrasion et la perforation</w:t>
            </w:r>
            <w:r w:rsidR="007408A1">
              <w:rPr>
                <w:lang w:val="fr-BE"/>
              </w:rPr>
              <w:t>.</w:t>
            </w:r>
          </w:p>
          <w:p w14:paraId="44C6403F" w14:textId="08C146D4" w:rsidR="00AB498E" w:rsidRPr="004C7740" w:rsidRDefault="00AB498E" w:rsidP="0013720C">
            <w:pPr>
              <w:pStyle w:val="Paragraphedeliste"/>
              <w:numPr>
                <w:ilvl w:val="0"/>
                <w:numId w:val="2"/>
              </w:numPr>
              <w:rPr>
                <w:lang w:val="fr-BE"/>
              </w:rPr>
            </w:pPr>
            <w:r w:rsidRPr="004C7740">
              <w:rPr>
                <w:lang w:val="fr-BE"/>
              </w:rPr>
              <w:t>Faire dégager toute personne de l’environnement de travail durant la manœuvre</w:t>
            </w:r>
            <w:r w:rsidR="007408A1">
              <w:rPr>
                <w:lang w:val="fr-BE"/>
              </w:rPr>
              <w:t>.</w:t>
            </w:r>
          </w:p>
          <w:p w14:paraId="049B815E" w14:textId="77777777" w:rsidR="00AB498E" w:rsidRPr="004C7740" w:rsidRDefault="00AB498E" w:rsidP="0013720C">
            <w:pPr>
              <w:rPr>
                <w:lang w:val="fr-BE"/>
              </w:rPr>
            </w:pPr>
          </w:p>
        </w:tc>
        <w:tc>
          <w:tcPr>
            <w:tcW w:w="1701" w:type="dxa"/>
          </w:tcPr>
          <w:p w14:paraId="5CBE9A69" w14:textId="77777777" w:rsidR="00AB498E" w:rsidRPr="004C7740" w:rsidRDefault="00AB498E" w:rsidP="00E542A8">
            <w:pPr>
              <w:jc w:val="both"/>
              <w:rPr>
                <w:lang w:val="fr-BE"/>
              </w:rPr>
            </w:pPr>
          </w:p>
        </w:tc>
        <w:tc>
          <w:tcPr>
            <w:tcW w:w="1701" w:type="dxa"/>
          </w:tcPr>
          <w:p w14:paraId="17368EE1" w14:textId="77777777" w:rsidR="00AB498E" w:rsidRPr="004C7740" w:rsidRDefault="00AB498E" w:rsidP="00E542A8">
            <w:pPr>
              <w:jc w:val="both"/>
              <w:rPr>
                <w:lang w:val="fr-BE"/>
              </w:rPr>
            </w:pPr>
          </w:p>
        </w:tc>
      </w:tr>
      <w:tr w:rsidR="00AB498E" w:rsidRPr="004C7740" w14:paraId="403ACCB7" w14:textId="77777777" w:rsidTr="00AB498E">
        <w:tc>
          <w:tcPr>
            <w:tcW w:w="2972" w:type="dxa"/>
          </w:tcPr>
          <w:p w14:paraId="545C6BAC" w14:textId="77777777" w:rsidR="00AB498E" w:rsidRPr="004C7740" w:rsidRDefault="00AB498E" w:rsidP="0013720C">
            <w:pPr>
              <w:rPr>
                <w:lang w:val="fr-BE"/>
              </w:rPr>
            </w:pPr>
            <w:r w:rsidRPr="004C7740">
              <w:rPr>
                <w:lang w:val="fr-BE"/>
              </w:rPr>
              <w:t>Basculement de la charge : chute d’objets</w:t>
            </w:r>
          </w:p>
        </w:tc>
        <w:tc>
          <w:tcPr>
            <w:tcW w:w="2126" w:type="dxa"/>
          </w:tcPr>
          <w:p w14:paraId="789B962C" w14:textId="77777777" w:rsidR="00AB498E" w:rsidRPr="004C7740" w:rsidRDefault="00AB498E" w:rsidP="0013720C">
            <w:pPr>
              <w:pStyle w:val="Paragraphedeliste"/>
              <w:numPr>
                <w:ilvl w:val="0"/>
                <w:numId w:val="2"/>
              </w:numPr>
              <w:rPr>
                <w:lang w:val="fr-BE"/>
              </w:rPr>
            </w:pPr>
            <w:r w:rsidRPr="004C7740">
              <w:rPr>
                <w:lang w:val="fr-BE"/>
              </w:rPr>
              <w:t>Blessures corporelles graves</w:t>
            </w:r>
          </w:p>
          <w:p w14:paraId="03DD1D62" w14:textId="77777777" w:rsidR="00AB498E" w:rsidRPr="004C7740" w:rsidRDefault="00AB498E" w:rsidP="0013720C">
            <w:pPr>
              <w:pStyle w:val="Paragraphedeliste"/>
              <w:numPr>
                <w:ilvl w:val="0"/>
                <w:numId w:val="2"/>
              </w:numPr>
              <w:rPr>
                <w:lang w:val="fr-BE"/>
              </w:rPr>
            </w:pPr>
            <w:r w:rsidRPr="004C7740">
              <w:rPr>
                <w:lang w:val="fr-BE"/>
              </w:rPr>
              <w:t xml:space="preserve">Écrasement </w:t>
            </w:r>
          </w:p>
          <w:p w14:paraId="54BCF4C5" w14:textId="77777777" w:rsidR="00AB498E" w:rsidRPr="004C7740" w:rsidRDefault="00AB498E" w:rsidP="0013720C">
            <w:pPr>
              <w:pStyle w:val="Paragraphedeliste"/>
              <w:numPr>
                <w:ilvl w:val="0"/>
                <w:numId w:val="2"/>
              </w:numPr>
              <w:rPr>
                <w:lang w:val="fr-BE"/>
              </w:rPr>
            </w:pPr>
            <w:r w:rsidRPr="004C7740">
              <w:rPr>
                <w:lang w:val="fr-BE"/>
              </w:rPr>
              <w:t xml:space="preserve">Décès </w:t>
            </w:r>
          </w:p>
        </w:tc>
        <w:tc>
          <w:tcPr>
            <w:tcW w:w="1276" w:type="dxa"/>
          </w:tcPr>
          <w:p w14:paraId="7006FDEF" w14:textId="77777777" w:rsidR="00AB498E" w:rsidRPr="004C7740" w:rsidRDefault="00AB498E" w:rsidP="0013720C">
            <w:pPr>
              <w:rPr>
                <w:lang w:val="fr-BE"/>
              </w:rPr>
            </w:pPr>
          </w:p>
        </w:tc>
        <w:tc>
          <w:tcPr>
            <w:tcW w:w="4961" w:type="dxa"/>
          </w:tcPr>
          <w:p w14:paraId="5748A7E5" w14:textId="77777777" w:rsidR="00AB498E" w:rsidRPr="004C7740" w:rsidRDefault="00AB498E" w:rsidP="0013720C">
            <w:pPr>
              <w:pStyle w:val="Paragraphedeliste"/>
              <w:numPr>
                <w:ilvl w:val="0"/>
                <w:numId w:val="2"/>
              </w:numPr>
              <w:rPr>
                <w:lang w:val="fr-BE"/>
              </w:rPr>
            </w:pPr>
            <w:r w:rsidRPr="004C7740">
              <w:rPr>
                <w:lang w:val="fr-BE"/>
              </w:rPr>
              <w:t>Déterminer correctement le centre de gravité de la charge (au-dessus et à la verticale du centre de gravité).</w:t>
            </w:r>
          </w:p>
          <w:p w14:paraId="195DCF97" w14:textId="77777777" w:rsidR="00AB498E" w:rsidRPr="004C7740" w:rsidRDefault="00AB498E" w:rsidP="0013720C">
            <w:pPr>
              <w:pStyle w:val="Paragraphedeliste"/>
              <w:numPr>
                <w:ilvl w:val="0"/>
                <w:numId w:val="2"/>
              </w:numPr>
              <w:rPr>
                <w:lang w:val="fr-BE"/>
              </w:rPr>
            </w:pPr>
            <w:r w:rsidRPr="004C7740">
              <w:rPr>
                <w:lang w:val="fr-BE"/>
              </w:rPr>
              <w:t xml:space="preserve">Examiner systématiquement, avant le levage, le parcours de la charge (obstacles, passage au-dessus de personnes, etc.). </w:t>
            </w:r>
          </w:p>
          <w:p w14:paraId="3EF18DB3" w14:textId="77777777" w:rsidR="00AB498E" w:rsidRPr="004C7740" w:rsidRDefault="00AB498E" w:rsidP="0013720C">
            <w:pPr>
              <w:pStyle w:val="Paragraphedeliste"/>
              <w:numPr>
                <w:ilvl w:val="0"/>
                <w:numId w:val="2"/>
              </w:numPr>
              <w:rPr>
                <w:lang w:val="fr-BE"/>
              </w:rPr>
            </w:pPr>
            <w:r w:rsidRPr="004C7740">
              <w:rPr>
                <w:lang w:val="fr-BE"/>
              </w:rPr>
              <w:t>Faire dégager toute personne de l’environnement de travail durant la manœuvre</w:t>
            </w:r>
          </w:p>
          <w:p w14:paraId="53D5EE8F" w14:textId="77777777" w:rsidR="00AB498E" w:rsidRPr="004C7740" w:rsidRDefault="00AB498E" w:rsidP="0013720C">
            <w:pPr>
              <w:pStyle w:val="Paragraphedeliste"/>
              <w:numPr>
                <w:ilvl w:val="0"/>
                <w:numId w:val="2"/>
              </w:numPr>
              <w:rPr>
                <w:lang w:val="fr-BE"/>
              </w:rPr>
            </w:pPr>
            <w:r w:rsidRPr="004C7740">
              <w:rPr>
                <w:lang w:val="fr-BE"/>
              </w:rPr>
              <w:t>Vérifier la zone de dépose : nature du sol, planéité, cales, dégagement, etc.</w:t>
            </w:r>
          </w:p>
          <w:p w14:paraId="512DB851" w14:textId="77777777" w:rsidR="00AB498E" w:rsidRPr="004C7740" w:rsidRDefault="00AB498E" w:rsidP="0013720C">
            <w:pPr>
              <w:pStyle w:val="Paragraphedeliste"/>
              <w:numPr>
                <w:ilvl w:val="0"/>
                <w:numId w:val="2"/>
              </w:numPr>
              <w:rPr>
                <w:lang w:val="fr-BE"/>
              </w:rPr>
            </w:pPr>
            <w:r w:rsidRPr="004C7740">
              <w:rPr>
                <w:lang w:val="fr-BE"/>
              </w:rPr>
              <w:t>Former aux signaux sonores et aux gestes visuels de commandement.</w:t>
            </w:r>
          </w:p>
          <w:p w14:paraId="6204E97E" w14:textId="77777777" w:rsidR="00AB498E" w:rsidRPr="004C7740" w:rsidRDefault="00AB498E" w:rsidP="0013720C">
            <w:pPr>
              <w:pStyle w:val="Paragraphedeliste"/>
              <w:numPr>
                <w:ilvl w:val="0"/>
                <w:numId w:val="2"/>
              </w:numPr>
              <w:rPr>
                <w:lang w:val="fr-BE"/>
              </w:rPr>
            </w:pPr>
            <w:r w:rsidRPr="004C7740">
              <w:rPr>
                <w:lang w:val="fr-BE"/>
              </w:rPr>
              <w:t>Porter les EPI : casque de protection, chaussures de sécurité, gants de protection, etc.</w:t>
            </w:r>
          </w:p>
          <w:p w14:paraId="717E8074" w14:textId="77777777" w:rsidR="00AB498E" w:rsidRPr="004C7740" w:rsidRDefault="00AB498E" w:rsidP="0013720C">
            <w:pPr>
              <w:pStyle w:val="Paragraphedeliste"/>
              <w:ind w:left="360"/>
              <w:rPr>
                <w:lang w:val="fr-BE"/>
              </w:rPr>
            </w:pPr>
          </w:p>
        </w:tc>
        <w:tc>
          <w:tcPr>
            <w:tcW w:w="1701" w:type="dxa"/>
          </w:tcPr>
          <w:p w14:paraId="1D12E1BF" w14:textId="77777777" w:rsidR="00AB498E" w:rsidRPr="004C7740" w:rsidRDefault="00AB498E" w:rsidP="00E542A8">
            <w:pPr>
              <w:jc w:val="both"/>
              <w:rPr>
                <w:lang w:val="fr-BE"/>
              </w:rPr>
            </w:pPr>
          </w:p>
        </w:tc>
        <w:tc>
          <w:tcPr>
            <w:tcW w:w="1701" w:type="dxa"/>
          </w:tcPr>
          <w:p w14:paraId="786B1CBF" w14:textId="77777777" w:rsidR="00AB498E" w:rsidRPr="004C7740" w:rsidRDefault="00AB498E" w:rsidP="00E542A8">
            <w:pPr>
              <w:jc w:val="both"/>
              <w:rPr>
                <w:lang w:val="fr-BE"/>
              </w:rPr>
            </w:pPr>
          </w:p>
        </w:tc>
      </w:tr>
      <w:tr w:rsidR="00AB498E" w:rsidRPr="004C7740" w14:paraId="1D144669" w14:textId="77777777" w:rsidTr="00AB498E">
        <w:tc>
          <w:tcPr>
            <w:tcW w:w="2972" w:type="dxa"/>
          </w:tcPr>
          <w:p w14:paraId="2ACC4FBD" w14:textId="77777777" w:rsidR="00AB498E" w:rsidRPr="004C7740" w:rsidRDefault="00AB498E" w:rsidP="0013720C">
            <w:pPr>
              <w:rPr>
                <w:lang w:val="fr-BE"/>
              </w:rPr>
            </w:pPr>
            <w:r w:rsidRPr="004C7740">
              <w:rPr>
                <w:lang w:val="fr-BE"/>
              </w:rPr>
              <w:t>Postures non adaptées</w:t>
            </w:r>
          </w:p>
        </w:tc>
        <w:tc>
          <w:tcPr>
            <w:tcW w:w="2126" w:type="dxa"/>
          </w:tcPr>
          <w:p w14:paraId="7B1BD588" w14:textId="77777777" w:rsidR="00AB498E" w:rsidRPr="004C7740" w:rsidRDefault="00AB498E" w:rsidP="0013720C">
            <w:pPr>
              <w:pStyle w:val="Paragraphedeliste"/>
              <w:numPr>
                <w:ilvl w:val="0"/>
                <w:numId w:val="2"/>
              </w:numPr>
              <w:rPr>
                <w:lang w:val="fr-BE"/>
              </w:rPr>
            </w:pPr>
            <w:r w:rsidRPr="004C7740">
              <w:rPr>
                <w:lang w:val="fr-BE"/>
              </w:rPr>
              <w:t>Coincement des membres supérieurs</w:t>
            </w:r>
          </w:p>
          <w:p w14:paraId="75DBB45F" w14:textId="77777777" w:rsidR="00AB498E" w:rsidRPr="004C7740" w:rsidRDefault="00AB498E" w:rsidP="0013720C">
            <w:pPr>
              <w:pStyle w:val="Paragraphedeliste"/>
              <w:numPr>
                <w:ilvl w:val="0"/>
                <w:numId w:val="2"/>
              </w:numPr>
              <w:rPr>
                <w:lang w:val="fr-BE"/>
              </w:rPr>
            </w:pPr>
            <w:r w:rsidRPr="004C7740">
              <w:rPr>
                <w:lang w:val="fr-BE"/>
              </w:rPr>
              <w:t xml:space="preserve">Blessures corporelles </w:t>
            </w:r>
          </w:p>
        </w:tc>
        <w:tc>
          <w:tcPr>
            <w:tcW w:w="1276" w:type="dxa"/>
          </w:tcPr>
          <w:p w14:paraId="08A384FF" w14:textId="77777777" w:rsidR="00AB498E" w:rsidRPr="004C7740" w:rsidRDefault="00AB498E" w:rsidP="0013720C">
            <w:pPr>
              <w:rPr>
                <w:lang w:val="fr-BE"/>
              </w:rPr>
            </w:pPr>
          </w:p>
        </w:tc>
        <w:tc>
          <w:tcPr>
            <w:tcW w:w="4961" w:type="dxa"/>
          </w:tcPr>
          <w:p w14:paraId="0431CE15" w14:textId="41F14A17" w:rsidR="00AB498E" w:rsidRPr="004C7740" w:rsidRDefault="00473160" w:rsidP="0013720C">
            <w:pPr>
              <w:pStyle w:val="Paragraphedeliste"/>
              <w:numPr>
                <w:ilvl w:val="0"/>
                <w:numId w:val="2"/>
              </w:numPr>
              <w:rPr>
                <w:lang w:val="fr-BE"/>
              </w:rPr>
            </w:pPr>
            <w:r>
              <w:rPr>
                <w:lang w:val="fr-BE"/>
              </w:rPr>
              <w:t>S</w:t>
            </w:r>
            <w:r w:rsidR="00AB498E" w:rsidRPr="004C7740">
              <w:rPr>
                <w:lang w:val="fr-BE"/>
              </w:rPr>
              <w:t xml:space="preserve">’assurer que la charge est bien stabilisée au sol avant de décrocher les élingues. </w:t>
            </w:r>
          </w:p>
          <w:p w14:paraId="05BBABE3" w14:textId="77777777" w:rsidR="00AB498E" w:rsidRPr="004C7740" w:rsidRDefault="00AB498E" w:rsidP="0013720C">
            <w:pPr>
              <w:pStyle w:val="Paragraphedeliste"/>
              <w:numPr>
                <w:ilvl w:val="0"/>
                <w:numId w:val="2"/>
              </w:numPr>
              <w:rPr>
                <w:lang w:val="fr-BE"/>
              </w:rPr>
            </w:pPr>
            <w:r w:rsidRPr="004C7740">
              <w:rPr>
                <w:lang w:val="fr-BE"/>
              </w:rPr>
              <w:t>Fournir les instructions pour interdire le placement des mains entre la charge et l’élingue et interdire tout positionnement sous la charge.</w:t>
            </w:r>
          </w:p>
        </w:tc>
        <w:tc>
          <w:tcPr>
            <w:tcW w:w="1701" w:type="dxa"/>
          </w:tcPr>
          <w:p w14:paraId="0BBDD60C" w14:textId="77777777" w:rsidR="00AB498E" w:rsidRPr="004C7740" w:rsidRDefault="00AB498E" w:rsidP="00E542A8">
            <w:pPr>
              <w:jc w:val="both"/>
              <w:rPr>
                <w:lang w:val="fr-BE"/>
              </w:rPr>
            </w:pPr>
          </w:p>
        </w:tc>
        <w:tc>
          <w:tcPr>
            <w:tcW w:w="1701" w:type="dxa"/>
          </w:tcPr>
          <w:p w14:paraId="0CC92EC7" w14:textId="77777777" w:rsidR="00AB498E" w:rsidRPr="004C7740" w:rsidRDefault="00AB498E" w:rsidP="00E542A8">
            <w:pPr>
              <w:jc w:val="both"/>
              <w:rPr>
                <w:lang w:val="fr-BE"/>
              </w:rPr>
            </w:pPr>
          </w:p>
        </w:tc>
      </w:tr>
    </w:tbl>
    <w:p w14:paraId="2DDDF3E0" w14:textId="77777777" w:rsidR="00AB498E" w:rsidRPr="004C7740" w:rsidRDefault="00AB498E" w:rsidP="00AB498E">
      <w:pPr>
        <w:spacing w:after="0"/>
        <w:jc w:val="both"/>
        <w:rPr>
          <w:sz w:val="12"/>
          <w:lang w:val="fr-BE"/>
        </w:rPr>
      </w:pPr>
    </w:p>
    <w:p w14:paraId="5D23C83F" w14:textId="77777777" w:rsidR="004A0D61" w:rsidRPr="00DE06D8" w:rsidRDefault="004A0D61" w:rsidP="004A0D61">
      <w:pPr>
        <w:spacing w:after="0"/>
        <w:ind w:right="-784"/>
        <w:jc w:val="both"/>
        <w:rPr>
          <w:b/>
          <w:bCs/>
          <w:iCs/>
          <w:sz w:val="24"/>
          <w:szCs w:val="24"/>
          <w:lang w:val="fr-BE"/>
        </w:rPr>
      </w:pPr>
      <w:r w:rsidRPr="00DE06D8">
        <w:rPr>
          <w:b/>
          <w:bCs/>
          <w:iCs/>
          <w:sz w:val="24"/>
          <w:szCs w:val="24"/>
          <w:u w:val="single"/>
          <w:lang w:val="fr-BE"/>
        </w:rPr>
        <w:t>Disclaimer</w:t>
      </w:r>
      <w:r w:rsidRPr="00DE06D8">
        <w:rPr>
          <w:b/>
          <w:bCs/>
          <w:iCs/>
          <w:sz w:val="24"/>
          <w:szCs w:val="24"/>
          <w:lang w:val="fr-BE"/>
        </w:rPr>
        <w:t> : Cet</w:t>
      </w:r>
      <w:r>
        <w:rPr>
          <w:b/>
          <w:bCs/>
          <w:iCs/>
          <w:sz w:val="24"/>
          <w:szCs w:val="24"/>
          <w:lang w:val="fr-BE"/>
        </w:rPr>
        <w:t xml:space="preserve"> inventaire</w:t>
      </w:r>
      <w:r w:rsidRPr="00DE06D8">
        <w:rPr>
          <w:b/>
          <w:bCs/>
          <w:iCs/>
          <w:sz w:val="24"/>
          <w:szCs w:val="24"/>
          <w:lang w:val="fr-BE"/>
        </w:rPr>
        <w:t xml:space="preserve"> des risques est fourni à titre indicatif et doit impérativement être adapté à la situation réelle dans l’entreprise. Prévention et Intérim ne saurait être tenu responsable des inexactitudes ou de l’incomplétude des informations fournies par le présent document. </w:t>
      </w:r>
      <w:r>
        <w:rPr>
          <w:b/>
          <w:bCs/>
          <w:iCs/>
          <w:sz w:val="24"/>
          <w:szCs w:val="24"/>
          <w:lang w:val="fr-BE"/>
        </w:rPr>
        <w:t>L</w:t>
      </w:r>
      <w:r w:rsidRPr="00DE06D8">
        <w:rPr>
          <w:b/>
          <w:bCs/>
          <w:iCs/>
          <w:sz w:val="24"/>
          <w:szCs w:val="24"/>
          <w:lang w:val="fr-BE"/>
        </w:rPr>
        <w:t xml:space="preserve">es informations qu’il contient ne sont pas adaptées à des circonstances personnelles ou spécifiques. </w:t>
      </w:r>
      <w:r>
        <w:rPr>
          <w:b/>
          <w:bCs/>
          <w:iCs/>
          <w:sz w:val="24"/>
          <w:szCs w:val="24"/>
          <w:lang w:val="fr-BE"/>
        </w:rPr>
        <w:t>Par conséquent, l</w:t>
      </w:r>
      <w:r w:rsidRPr="00DE06D8">
        <w:rPr>
          <w:b/>
          <w:bCs/>
          <w:iCs/>
          <w:sz w:val="24"/>
          <w:szCs w:val="24"/>
          <w:lang w:val="fr-BE"/>
        </w:rPr>
        <w:t xml:space="preserve">’utilisateur ne </w:t>
      </w:r>
      <w:r>
        <w:rPr>
          <w:b/>
          <w:bCs/>
          <w:iCs/>
          <w:sz w:val="24"/>
          <w:szCs w:val="24"/>
          <w:lang w:val="fr-BE"/>
        </w:rPr>
        <w:t xml:space="preserve">doit en aucun cas </w:t>
      </w:r>
      <w:r w:rsidRPr="00DE06D8">
        <w:rPr>
          <w:b/>
          <w:bCs/>
          <w:iCs/>
          <w:sz w:val="24"/>
          <w:szCs w:val="24"/>
          <w:lang w:val="fr-BE"/>
        </w:rPr>
        <w:t>les considérer comme des conseils personnels, professionnels ou juridiques. En outre, diverses manières d’analyser les risques sont possibles, par exemple, le graphe de risques, la méthode « </w:t>
      </w:r>
      <w:proofErr w:type="spellStart"/>
      <w:r w:rsidRPr="00DE06D8">
        <w:rPr>
          <w:b/>
          <w:bCs/>
          <w:iCs/>
          <w:sz w:val="24"/>
          <w:szCs w:val="24"/>
          <w:lang w:val="fr-BE"/>
        </w:rPr>
        <w:t>Kinney</w:t>
      </w:r>
      <w:proofErr w:type="spellEnd"/>
      <w:r w:rsidRPr="00DE06D8">
        <w:rPr>
          <w:b/>
          <w:bCs/>
          <w:iCs/>
          <w:sz w:val="24"/>
          <w:szCs w:val="24"/>
          <w:lang w:val="fr-BE"/>
        </w:rPr>
        <w:t xml:space="preserve"> » ou l’évaluation du risque selon des gradations (très faible, faible, moyen, élevé, très élevé).  </w:t>
      </w:r>
    </w:p>
    <w:p w14:paraId="4FB669C2" w14:textId="7B433A62" w:rsidR="00C270CB" w:rsidRPr="00AB498E" w:rsidRDefault="00C270CB" w:rsidP="004A0D61">
      <w:pPr>
        <w:pStyle w:val="Kop14"/>
        <w:numPr>
          <w:ilvl w:val="0"/>
          <w:numId w:val="0"/>
        </w:numPr>
        <w:spacing w:after="0"/>
        <w:rPr>
          <w:lang w:val="fr-BE"/>
        </w:rPr>
      </w:pPr>
    </w:p>
    <w:sectPr w:rsidR="00C270CB" w:rsidRPr="00AB498E" w:rsidSect="00AB498E">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94EDF" w14:textId="77777777" w:rsidR="007A1E18" w:rsidRDefault="007A1E18" w:rsidP="00AB498E">
      <w:pPr>
        <w:spacing w:after="0" w:line="240" w:lineRule="auto"/>
      </w:pPr>
      <w:r>
        <w:separator/>
      </w:r>
    </w:p>
  </w:endnote>
  <w:endnote w:type="continuationSeparator" w:id="0">
    <w:p w14:paraId="08BDD197" w14:textId="77777777" w:rsidR="007A1E18" w:rsidRDefault="007A1E18" w:rsidP="00AB4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53B15" w14:textId="77777777" w:rsidR="007A1E18" w:rsidRDefault="007A1E18" w:rsidP="00AB498E">
      <w:pPr>
        <w:spacing w:after="0" w:line="240" w:lineRule="auto"/>
      </w:pPr>
      <w:r>
        <w:separator/>
      </w:r>
    </w:p>
  </w:footnote>
  <w:footnote w:type="continuationSeparator" w:id="0">
    <w:p w14:paraId="7F1AE67F" w14:textId="77777777" w:rsidR="007A1E18" w:rsidRDefault="007A1E18" w:rsidP="00AB4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4E714" w14:textId="4FBDE2E2" w:rsidR="00AB498E" w:rsidRDefault="00AB498E">
    <w:pPr>
      <w:pStyle w:val="En-tte"/>
    </w:pPr>
    <w:r w:rsidRPr="00EE32D5">
      <w:rPr>
        <w:b/>
        <w:noProof/>
        <w:color w:val="FF0000"/>
        <w:lang w:eastAsia="nl-BE"/>
      </w:rPr>
      <w:drawing>
        <wp:anchor distT="0" distB="0" distL="114300" distR="114300" simplePos="0" relativeHeight="251659264" behindDoc="1" locked="0" layoutInCell="1" allowOverlap="1" wp14:anchorId="42B5E619" wp14:editId="58CE8357">
          <wp:simplePos x="0" y="0"/>
          <wp:positionH relativeFrom="column">
            <wp:posOffset>0</wp:posOffset>
          </wp:positionH>
          <wp:positionV relativeFrom="paragraph">
            <wp:posOffset>-375285</wp:posOffset>
          </wp:positionV>
          <wp:extent cx="748030" cy="723900"/>
          <wp:effectExtent l="0" t="0" r="0" b="0"/>
          <wp:wrapTight wrapText="bothSides">
            <wp:wrapPolygon edited="0">
              <wp:start x="0" y="0"/>
              <wp:lineTo x="0" y="21032"/>
              <wp:lineTo x="20903" y="21032"/>
              <wp:lineTo x="20903" y="0"/>
              <wp:lineTo x="0" y="0"/>
            </wp:wrapPolygon>
          </wp:wrapTight>
          <wp:docPr id="4" name="Picture 0" descr="PI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 logo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030" cy="723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815E2"/>
    <w:multiLevelType w:val="hybridMultilevel"/>
    <w:tmpl w:val="B412900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1D7A0955"/>
    <w:multiLevelType w:val="hybridMultilevel"/>
    <w:tmpl w:val="ACB4F528"/>
    <w:lvl w:ilvl="0" w:tplc="3BBAB58E">
      <w:start w:val="1"/>
      <w:numFmt w:val="decimal"/>
      <w:pStyle w:val="Titre1"/>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57A10834"/>
    <w:multiLevelType w:val="hybridMultilevel"/>
    <w:tmpl w:val="A2B2288E"/>
    <w:lvl w:ilvl="0" w:tplc="B12A2DA8">
      <w:start w:val="3"/>
      <w:numFmt w:val="bullet"/>
      <w:lvlText w:val="-"/>
      <w:lvlJc w:val="left"/>
      <w:pPr>
        <w:ind w:left="1125" w:hanging="360"/>
      </w:pPr>
      <w:rPr>
        <w:rFonts w:ascii="Calibri" w:eastAsiaTheme="minorHAnsi" w:hAnsi="Calibri" w:cs="Calibri" w:hint="default"/>
      </w:rPr>
    </w:lvl>
    <w:lvl w:ilvl="1" w:tplc="20000003" w:tentative="1">
      <w:start w:val="1"/>
      <w:numFmt w:val="bullet"/>
      <w:lvlText w:val="o"/>
      <w:lvlJc w:val="left"/>
      <w:pPr>
        <w:ind w:left="1845" w:hanging="360"/>
      </w:pPr>
      <w:rPr>
        <w:rFonts w:ascii="Courier New" w:hAnsi="Courier New" w:cs="Courier New" w:hint="default"/>
      </w:rPr>
    </w:lvl>
    <w:lvl w:ilvl="2" w:tplc="20000005" w:tentative="1">
      <w:start w:val="1"/>
      <w:numFmt w:val="bullet"/>
      <w:lvlText w:val=""/>
      <w:lvlJc w:val="left"/>
      <w:pPr>
        <w:ind w:left="2565" w:hanging="360"/>
      </w:pPr>
      <w:rPr>
        <w:rFonts w:ascii="Wingdings" w:hAnsi="Wingdings" w:hint="default"/>
      </w:rPr>
    </w:lvl>
    <w:lvl w:ilvl="3" w:tplc="20000001" w:tentative="1">
      <w:start w:val="1"/>
      <w:numFmt w:val="bullet"/>
      <w:lvlText w:val=""/>
      <w:lvlJc w:val="left"/>
      <w:pPr>
        <w:ind w:left="3285" w:hanging="360"/>
      </w:pPr>
      <w:rPr>
        <w:rFonts w:ascii="Symbol" w:hAnsi="Symbol" w:hint="default"/>
      </w:rPr>
    </w:lvl>
    <w:lvl w:ilvl="4" w:tplc="20000003" w:tentative="1">
      <w:start w:val="1"/>
      <w:numFmt w:val="bullet"/>
      <w:lvlText w:val="o"/>
      <w:lvlJc w:val="left"/>
      <w:pPr>
        <w:ind w:left="4005" w:hanging="360"/>
      </w:pPr>
      <w:rPr>
        <w:rFonts w:ascii="Courier New" w:hAnsi="Courier New" w:cs="Courier New" w:hint="default"/>
      </w:rPr>
    </w:lvl>
    <w:lvl w:ilvl="5" w:tplc="20000005" w:tentative="1">
      <w:start w:val="1"/>
      <w:numFmt w:val="bullet"/>
      <w:lvlText w:val=""/>
      <w:lvlJc w:val="left"/>
      <w:pPr>
        <w:ind w:left="4725" w:hanging="360"/>
      </w:pPr>
      <w:rPr>
        <w:rFonts w:ascii="Wingdings" w:hAnsi="Wingdings" w:hint="default"/>
      </w:rPr>
    </w:lvl>
    <w:lvl w:ilvl="6" w:tplc="20000001" w:tentative="1">
      <w:start w:val="1"/>
      <w:numFmt w:val="bullet"/>
      <w:lvlText w:val=""/>
      <w:lvlJc w:val="left"/>
      <w:pPr>
        <w:ind w:left="5445" w:hanging="360"/>
      </w:pPr>
      <w:rPr>
        <w:rFonts w:ascii="Symbol" w:hAnsi="Symbol" w:hint="default"/>
      </w:rPr>
    </w:lvl>
    <w:lvl w:ilvl="7" w:tplc="20000003" w:tentative="1">
      <w:start w:val="1"/>
      <w:numFmt w:val="bullet"/>
      <w:lvlText w:val="o"/>
      <w:lvlJc w:val="left"/>
      <w:pPr>
        <w:ind w:left="6165" w:hanging="360"/>
      </w:pPr>
      <w:rPr>
        <w:rFonts w:ascii="Courier New" w:hAnsi="Courier New" w:cs="Courier New" w:hint="default"/>
      </w:rPr>
    </w:lvl>
    <w:lvl w:ilvl="8" w:tplc="20000005" w:tentative="1">
      <w:start w:val="1"/>
      <w:numFmt w:val="bullet"/>
      <w:lvlText w:val=""/>
      <w:lvlJc w:val="left"/>
      <w:pPr>
        <w:ind w:left="6885" w:hanging="360"/>
      </w:pPr>
      <w:rPr>
        <w:rFonts w:ascii="Wingdings" w:hAnsi="Wingdings" w:hint="default"/>
      </w:rPr>
    </w:lvl>
  </w:abstractNum>
  <w:abstractNum w:abstractNumId="3" w15:restartNumberingAfterBreak="0">
    <w:nsid w:val="65552E9C"/>
    <w:multiLevelType w:val="multilevel"/>
    <w:tmpl w:val="20000025"/>
    <w:lvl w:ilvl="0">
      <w:start w:val="1"/>
      <w:numFmt w:val="decimal"/>
      <w:pStyle w:val="Kop14"/>
      <w:lvlText w:val="%1"/>
      <w:lvlJc w:val="left"/>
      <w:pPr>
        <w:ind w:left="432" w:hanging="432"/>
      </w:pPr>
    </w:lvl>
    <w:lvl w:ilvl="1">
      <w:start w:val="1"/>
      <w:numFmt w:val="decimal"/>
      <w:pStyle w:val="Kop24"/>
      <w:lvlText w:val="%1.%2"/>
      <w:lvlJc w:val="left"/>
      <w:pPr>
        <w:ind w:left="576" w:hanging="576"/>
      </w:pPr>
    </w:lvl>
    <w:lvl w:ilvl="2">
      <w:start w:val="1"/>
      <w:numFmt w:val="decimal"/>
      <w:pStyle w:val="Kop34"/>
      <w:lvlText w:val="%1.%2.%3"/>
      <w:lvlJc w:val="left"/>
      <w:pPr>
        <w:ind w:left="720" w:hanging="720"/>
      </w:pPr>
    </w:lvl>
    <w:lvl w:ilvl="3">
      <w:start w:val="1"/>
      <w:numFmt w:val="decimal"/>
      <w:pStyle w:val="Kop44"/>
      <w:lvlText w:val="%1.%2.%3.%4"/>
      <w:lvlJc w:val="left"/>
      <w:pPr>
        <w:ind w:left="864" w:hanging="864"/>
      </w:pPr>
    </w:lvl>
    <w:lvl w:ilvl="4">
      <w:start w:val="1"/>
      <w:numFmt w:val="decimal"/>
      <w:pStyle w:val="Kop54"/>
      <w:lvlText w:val="%1.%2.%3.%4.%5"/>
      <w:lvlJc w:val="left"/>
      <w:pPr>
        <w:ind w:left="1008" w:hanging="1008"/>
      </w:pPr>
    </w:lvl>
    <w:lvl w:ilvl="5">
      <w:start w:val="1"/>
      <w:numFmt w:val="decimal"/>
      <w:pStyle w:val="Kop64"/>
      <w:lvlText w:val="%1.%2.%3.%4.%5.%6"/>
      <w:lvlJc w:val="left"/>
      <w:pPr>
        <w:ind w:left="1152" w:hanging="1152"/>
      </w:pPr>
    </w:lvl>
    <w:lvl w:ilvl="6">
      <w:start w:val="1"/>
      <w:numFmt w:val="decimal"/>
      <w:pStyle w:val="Kop74"/>
      <w:lvlText w:val="%1.%2.%3.%4.%5.%6.%7"/>
      <w:lvlJc w:val="left"/>
      <w:pPr>
        <w:ind w:left="1296" w:hanging="1296"/>
      </w:pPr>
    </w:lvl>
    <w:lvl w:ilvl="7">
      <w:start w:val="1"/>
      <w:numFmt w:val="decimal"/>
      <w:pStyle w:val="Kop84"/>
      <w:lvlText w:val="%1.%2.%3.%4.%5.%6.%7.%8"/>
      <w:lvlJc w:val="left"/>
      <w:pPr>
        <w:ind w:left="1440" w:hanging="1440"/>
      </w:pPr>
    </w:lvl>
    <w:lvl w:ilvl="8">
      <w:start w:val="1"/>
      <w:numFmt w:val="decimal"/>
      <w:pStyle w:val="Kop94"/>
      <w:lvlText w:val="%1.%2.%3.%4.%5.%6.%7.%8.%9"/>
      <w:lvlJc w:val="left"/>
      <w:pPr>
        <w:ind w:left="1584" w:hanging="1584"/>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98E"/>
    <w:rsid w:val="00041888"/>
    <w:rsid w:val="0013720C"/>
    <w:rsid w:val="00392A08"/>
    <w:rsid w:val="00473160"/>
    <w:rsid w:val="004A0D61"/>
    <w:rsid w:val="007408A1"/>
    <w:rsid w:val="007A1E18"/>
    <w:rsid w:val="00AB498E"/>
    <w:rsid w:val="00C270CB"/>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AD78D"/>
  <w15:chartTrackingRefBased/>
  <w15:docId w15:val="{D5F7B289-20D5-4DAB-87A0-3ABD3018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98E"/>
    <w:rPr>
      <w:lang w:val="nl-BE"/>
    </w:rPr>
  </w:style>
  <w:style w:type="paragraph" w:styleId="Titre1">
    <w:name w:val="heading 1"/>
    <w:basedOn w:val="Kop14"/>
    <w:next w:val="Normal"/>
    <w:link w:val="Titre1Car"/>
    <w:uiPriority w:val="9"/>
    <w:qFormat/>
    <w:rsid w:val="00AB498E"/>
    <w:pPr>
      <w:keepNext/>
      <w:keepLines/>
      <w:numPr>
        <w:numId w:val="1"/>
      </w:numPr>
      <w:spacing w:before="240" w:after="0"/>
      <w:outlineLvl w:val="0"/>
    </w:pPr>
    <w:rPr>
      <w:rFonts w:eastAsiaTheme="majorEastAsia" w:cstheme="majorBidi"/>
      <w:sz w:val="24"/>
      <w:szCs w:val="32"/>
    </w:rPr>
  </w:style>
  <w:style w:type="paragraph" w:styleId="Titre2">
    <w:name w:val="heading 2"/>
    <w:basedOn w:val="Kop24"/>
    <w:next w:val="Normal"/>
    <w:link w:val="Titre2Car"/>
    <w:uiPriority w:val="9"/>
    <w:unhideWhenUsed/>
    <w:qFormat/>
    <w:rsid w:val="00AB498E"/>
    <w:pPr>
      <w:keepNext/>
      <w:keepLines/>
      <w:spacing w:before="40" w:after="0"/>
      <w:outlineLvl w:val="1"/>
    </w:pPr>
    <w:rPr>
      <w:rFonts w:eastAsiaTheme="majorEastAsia" w:cstheme="majorBidi"/>
      <w:b/>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498E"/>
    <w:rPr>
      <w:rFonts w:eastAsiaTheme="majorEastAsia" w:cstheme="majorBidi"/>
      <w:sz w:val="24"/>
      <w:szCs w:val="32"/>
      <w:lang w:val="nl-BE"/>
    </w:rPr>
  </w:style>
  <w:style w:type="character" w:customStyle="1" w:styleId="Titre2Car">
    <w:name w:val="Titre 2 Car"/>
    <w:basedOn w:val="Policepardfaut"/>
    <w:link w:val="Titre2"/>
    <w:uiPriority w:val="9"/>
    <w:rsid w:val="00AB498E"/>
    <w:rPr>
      <w:rFonts w:eastAsiaTheme="majorEastAsia" w:cstheme="majorBidi"/>
      <w:b/>
      <w:sz w:val="24"/>
      <w:szCs w:val="26"/>
      <w:lang w:val="nl-BE"/>
    </w:rPr>
  </w:style>
  <w:style w:type="paragraph" w:styleId="Paragraphedeliste">
    <w:name w:val="List Paragraph"/>
    <w:basedOn w:val="Normal"/>
    <w:uiPriority w:val="34"/>
    <w:qFormat/>
    <w:rsid w:val="00AB498E"/>
    <w:pPr>
      <w:ind w:left="720"/>
      <w:contextualSpacing/>
    </w:pPr>
  </w:style>
  <w:style w:type="table" w:styleId="Grilledutableau">
    <w:name w:val="Table Grid"/>
    <w:basedOn w:val="TableauNormal"/>
    <w:uiPriority w:val="39"/>
    <w:rsid w:val="00AB498E"/>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4">
    <w:name w:val="Kop 14"/>
    <w:basedOn w:val="Normal"/>
    <w:rsid w:val="00AB498E"/>
    <w:pPr>
      <w:numPr>
        <w:numId w:val="3"/>
      </w:numPr>
    </w:pPr>
  </w:style>
  <w:style w:type="paragraph" w:customStyle="1" w:styleId="Kop24">
    <w:name w:val="Kop 24"/>
    <w:basedOn w:val="Normal"/>
    <w:rsid w:val="00AB498E"/>
    <w:pPr>
      <w:numPr>
        <w:ilvl w:val="1"/>
        <w:numId w:val="3"/>
      </w:numPr>
    </w:pPr>
  </w:style>
  <w:style w:type="paragraph" w:customStyle="1" w:styleId="Kop34">
    <w:name w:val="Kop 34"/>
    <w:basedOn w:val="Normal"/>
    <w:rsid w:val="00AB498E"/>
    <w:pPr>
      <w:numPr>
        <w:ilvl w:val="2"/>
        <w:numId w:val="3"/>
      </w:numPr>
    </w:pPr>
  </w:style>
  <w:style w:type="paragraph" w:customStyle="1" w:styleId="Kop44">
    <w:name w:val="Kop 44"/>
    <w:basedOn w:val="Normal"/>
    <w:rsid w:val="00AB498E"/>
    <w:pPr>
      <w:numPr>
        <w:ilvl w:val="3"/>
        <w:numId w:val="3"/>
      </w:numPr>
    </w:pPr>
  </w:style>
  <w:style w:type="paragraph" w:customStyle="1" w:styleId="Kop54">
    <w:name w:val="Kop 54"/>
    <w:basedOn w:val="Normal"/>
    <w:rsid w:val="00AB498E"/>
    <w:pPr>
      <w:numPr>
        <w:ilvl w:val="4"/>
        <w:numId w:val="3"/>
      </w:numPr>
    </w:pPr>
  </w:style>
  <w:style w:type="paragraph" w:customStyle="1" w:styleId="Kop64">
    <w:name w:val="Kop 64"/>
    <w:basedOn w:val="Normal"/>
    <w:rsid w:val="00AB498E"/>
    <w:pPr>
      <w:numPr>
        <w:ilvl w:val="5"/>
        <w:numId w:val="3"/>
      </w:numPr>
    </w:pPr>
  </w:style>
  <w:style w:type="paragraph" w:customStyle="1" w:styleId="Kop74">
    <w:name w:val="Kop 74"/>
    <w:basedOn w:val="Normal"/>
    <w:rsid w:val="00AB498E"/>
    <w:pPr>
      <w:numPr>
        <w:ilvl w:val="6"/>
        <w:numId w:val="3"/>
      </w:numPr>
    </w:pPr>
  </w:style>
  <w:style w:type="paragraph" w:customStyle="1" w:styleId="Kop84">
    <w:name w:val="Kop 84"/>
    <w:basedOn w:val="Normal"/>
    <w:rsid w:val="00AB498E"/>
    <w:pPr>
      <w:numPr>
        <w:ilvl w:val="7"/>
        <w:numId w:val="3"/>
      </w:numPr>
    </w:pPr>
  </w:style>
  <w:style w:type="paragraph" w:customStyle="1" w:styleId="Kop94">
    <w:name w:val="Kop 94"/>
    <w:basedOn w:val="Normal"/>
    <w:rsid w:val="00AB498E"/>
    <w:pPr>
      <w:numPr>
        <w:ilvl w:val="8"/>
        <w:numId w:val="3"/>
      </w:numPr>
    </w:pPr>
  </w:style>
  <w:style w:type="paragraph" w:styleId="En-tte">
    <w:name w:val="header"/>
    <w:basedOn w:val="Normal"/>
    <w:link w:val="En-tteCar"/>
    <w:uiPriority w:val="99"/>
    <w:unhideWhenUsed/>
    <w:rsid w:val="00AB498E"/>
    <w:pPr>
      <w:tabs>
        <w:tab w:val="center" w:pos="4513"/>
        <w:tab w:val="right" w:pos="9026"/>
      </w:tabs>
      <w:spacing w:after="0" w:line="240" w:lineRule="auto"/>
    </w:pPr>
  </w:style>
  <w:style w:type="character" w:customStyle="1" w:styleId="En-tteCar">
    <w:name w:val="En-tête Car"/>
    <w:basedOn w:val="Policepardfaut"/>
    <w:link w:val="En-tte"/>
    <w:uiPriority w:val="99"/>
    <w:rsid w:val="00AB498E"/>
    <w:rPr>
      <w:lang w:val="nl-BE"/>
    </w:rPr>
  </w:style>
  <w:style w:type="paragraph" w:styleId="Pieddepage">
    <w:name w:val="footer"/>
    <w:basedOn w:val="Normal"/>
    <w:link w:val="PieddepageCar"/>
    <w:uiPriority w:val="99"/>
    <w:unhideWhenUsed/>
    <w:rsid w:val="00AB498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B498E"/>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E28EA651FC534A8963000AFF4CBB74" ma:contentTypeVersion="12" ma:contentTypeDescription="Een nieuw document maken." ma:contentTypeScope="" ma:versionID="04bf483102e2bd170a0182230bb51192">
  <xsd:schema xmlns:xsd="http://www.w3.org/2001/XMLSchema" xmlns:xs="http://www.w3.org/2001/XMLSchema" xmlns:p="http://schemas.microsoft.com/office/2006/metadata/properties" xmlns:ns2="4a5713cd-e46e-4c42-981c-7e6dd463605e" xmlns:ns3="1087e0cc-afe7-487f-aeb1-c3b41e758de3" targetNamespace="http://schemas.microsoft.com/office/2006/metadata/properties" ma:root="true" ma:fieldsID="a3bc3d63ca31e2645277388bb1cd05fd" ns2:_="" ns3:_="">
    <xsd:import namespace="4a5713cd-e46e-4c42-981c-7e6dd463605e"/>
    <xsd:import namespace="1087e0cc-afe7-487f-aeb1-c3b41e758d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3cd-e46e-4c42-981c-7e6dd4636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87e0cc-afe7-487f-aeb1-c3b41e758de3"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CB089A-F8BA-4169-831B-F7C1481E5F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487BDB-3536-4EB8-B25C-0AA661E2A8E2}">
  <ds:schemaRefs>
    <ds:schemaRef ds:uri="http://schemas.microsoft.com/sharepoint/v3/contenttype/forms"/>
  </ds:schemaRefs>
</ds:datastoreItem>
</file>

<file path=customXml/itemProps3.xml><?xml version="1.0" encoding="utf-8"?>
<ds:datastoreItem xmlns:ds="http://schemas.openxmlformats.org/officeDocument/2006/customXml" ds:itemID="{58057DEA-1E82-4BED-9E10-4D69A0941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3cd-e46e-4c42-981c-7e6dd463605e"/>
    <ds:schemaRef ds:uri="1087e0cc-afe7-487f-aeb1-c3b41e758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736</Words>
  <Characters>4051</Characters>
  <Application>Microsoft Office Word</Application>
  <DocSecurity>0</DocSecurity>
  <Lines>33</Lines>
  <Paragraphs>9</Paragraphs>
  <ScaleCrop>false</ScaleCrop>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Wlodarski</dc:creator>
  <cp:keywords/>
  <dc:description/>
  <cp:lastModifiedBy>Odette Wlodarski</cp:lastModifiedBy>
  <cp:revision>5</cp:revision>
  <dcterms:created xsi:type="dcterms:W3CDTF">2020-06-17T08:01:00Z</dcterms:created>
  <dcterms:modified xsi:type="dcterms:W3CDTF">2020-06-19T10:24:00Z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0x0101004BE28EA651FC534A8963000AFF4CBB74</vt:lpwstr>
  </property>
</Properties>
</file>