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C4E9" w14:textId="01E7CB1D" w:rsidR="008F013B" w:rsidRPr="009141CE" w:rsidRDefault="008F013B" w:rsidP="008F013B">
      <w:pPr>
        <w:pStyle w:val="Titre1"/>
        <w:numPr>
          <w:ilvl w:val="0"/>
          <w:numId w:val="0"/>
        </w:numPr>
        <w:rPr>
          <w:rFonts w:asciiTheme="minorHAnsi" w:hAnsiTheme="minorHAnsi" w:cstheme="minorHAnsi"/>
          <w:b/>
          <w:color w:val="auto"/>
          <w:sz w:val="28"/>
          <w:szCs w:val="28"/>
          <w:lang w:val="fr-BE"/>
        </w:rPr>
      </w:pPr>
      <w:bookmarkStart w:id="0" w:name="_Toc17725595"/>
      <w:bookmarkStart w:id="1" w:name="_Toc25577692"/>
      <w:r w:rsidRPr="009141CE">
        <w:rPr>
          <w:rFonts w:asciiTheme="minorHAnsi" w:hAnsiTheme="minorHAnsi" w:cstheme="minorHAnsi"/>
          <w:b/>
          <w:color w:val="auto"/>
          <w:sz w:val="28"/>
          <w:szCs w:val="28"/>
          <w:lang w:val="fr-BE"/>
        </w:rPr>
        <w:t>Personnel de cuisine : risques et moyens de prévention</w:t>
      </w:r>
      <w:bookmarkEnd w:id="0"/>
      <w:bookmarkEnd w:id="1"/>
    </w:p>
    <w:p w14:paraId="40063C47" w14:textId="77777777" w:rsidR="008F013B" w:rsidRPr="00291103" w:rsidRDefault="008F013B" w:rsidP="008F013B">
      <w:pPr>
        <w:spacing w:after="0"/>
        <w:rPr>
          <w:lang w:val="fr-BE"/>
        </w:rPr>
      </w:pPr>
    </w:p>
    <w:tbl>
      <w:tblPr>
        <w:tblStyle w:val="Grilledutableau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275"/>
        <w:gridCol w:w="5103"/>
        <w:gridCol w:w="1701"/>
        <w:gridCol w:w="1843"/>
      </w:tblGrid>
      <w:tr w:rsidR="008F013B" w:rsidRPr="00291103" w14:paraId="13249540" w14:textId="77777777" w:rsidTr="008F013B">
        <w:tc>
          <w:tcPr>
            <w:tcW w:w="14879" w:type="dxa"/>
            <w:gridSpan w:val="6"/>
            <w:shd w:val="clear" w:color="auto" w:fill="D9E2F3" w:themeFill="accent1" w:themeFillTint="33"/>
          </w:tcPr>
          <w:p w14:paraId="4A434E6D" w14:textId="77777777" w:rsidR="008F013B" w:rsidRPr="00291103" w:rsidRDefault="008F013B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 xml:space="preserve">Aide cuisinier polyvalent/cuisinier </w:t>
            </w:r>
          </w:p>
        </w:tc>
      </w:tr>
      <w:tr w:rsidR="008F013B" w:rsidRPr="00291103" w14:paraId="3A548692" w14:textId="77777777" w:rsidTr="008F013B">
        <w:tc>
          <w:tcPr>
            <w:tcW w:w="2972" w:type="dxa"/>
          </w:tcPr>
          <w:p w14:paraId="7D7E7011" w14:textId="49047A8B" w:rsidR="008F013B" w:rsidRPr="00291103" w:rsidRDefault="009141CE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>DANGERS</w:t>
            </w:r>
          </w:p>
        </w:tc>
        <w:tc>
          <w:tcPr>
            <w:tcW w:w="1985" w:type="dxa"/>
          </w:tcPr>
          <w:p w14:paraId="769E48BD" w14:textId="1F13112A" w:rsidR="008F013B" w:rsidRPr="00291103" w:rsidRDefault="009141CE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>RISQUES</w:t>
            </w:r>
          </w:p>
        </w:tc>
        <w:tc>
          <w:tcPr>
            <w:tcW w:w="1275" w:type="dxa"/>
          </w:tcPr>
          <w:p w14:paraId="31597193" w14:textId="704D8328" w:rsidR="008F013B" w:rsidRPr="00291103" w:rsidRDefault="009141CE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 xml:space="preserve">ÉVALUATION DES RISQUES </w:t>
            </w:r>
          </w:p>
        </w:tc>
        <w:tc>
          <w:tcPr>
            <w:tcW w:w="5103" w:type="dxa"/>
          </w:tcPr>
          <w:p w14:paraId="4F66D211" w14:textId="662B00E8" w:rsidR="008F013B" w:rsidRPr="00291103" w:rsidRDefault="009141CE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>MESURES DE PRÉVENTION</w:t>
            </w:r>
          </w:p>
        </w:tc>
        <w:tc>
          <w:tcPr>
            <w:tcW w:w="1701" w:type="dxa"/>
          </w:tcPr>
          <w:p w14:paraId="3695C2D3" w14:textId="0707553C" w:rsidR="008F013B" w:rsidRPr="00291103" w:rsidRDefault="009141CE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>ÉVALUATION RISQUE RÉSIDUEL</w:t>
            </w:r>
          </w:p>
        </w:tc>
        <w:tc>
          <w:tcPr>
            <w:tcW w:w="1843" w:type="dxa"/>
          </w:tcPr>
          <w:p w14:paraId="2A5FDAAA" w14:textId="03CFB875" w:rsidR="008F013B" w:rsidRPr="00291103" w:rsidRDefault="009141CE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>REMARQUES</w:t>
            </w:r>
          </w:p>
        </w:tc>
      </w:tr>
      <w:tr w:rsidR="008F013B" w:rsidRPr="00291103" w14:paraId="3F1D5A0A" w14:textId="77777777" w:rsidTr="008F013B">
        <w:tc>
          <w:tcPr>
            <w:tcW w:w="2972" w:type="dxa"/>
          </w:tcPr>
          <w:p w14:paraId="57BB6E92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Utilisation d’ustensiles coupants (couteau, tranchoir, hachoir, etc.)</w:t>
            </w:r>
          </w:p>
        </w:tc>
        <w:tc>
          <w:tcPr>
            <w:tcW w:w="1985" w:type="dxa"/>
          </w:tcPr>
          <w:p w14:paraId="4C8DC795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Coupure</w:t>
            </w:r>
          </w:p>
          <w:p w14:paraId="762E7239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Blessure avec pertes</w:t>
            </w:r>
            <w:r>
              <w:rPr>
                <w:lang w:val="fr-BE"/>
              </w:rPr>
              <w:t xml:space="preserve"> de substance</w:t>
            </w:r>
          </w:p>
        </w:tc>
        <w:tc>
          <w:tcPr>
            <w:tcW w:w="1275" w:type="dxa"/>
          </w:tcPr>
          <w:p w14:paraId="6EE0DF67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43E7656F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1F2B2646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Manipuler les pièces tranchantes avec des gants anti-coupures.</w:t>
            </w:r>
          </w:p>
          <w:p w14:paraId="556801D4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Utiliser des gants en cote de maille.</w:t>
            </w:r>
          </w:p>
          <w:p w14:paraId="121AF6EA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2F7F1AC4" w14:textId="26C881B5" w:rsidR="008F013B" w:rsidRPr="00291103" w:rsidRDefault="008F013B" w:rsidP="008F013B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291103">
              <w:rPr>
                <w:lang w:val="fr-BE"/>
              </w:rPr>
              <w:t>Couper l’alimentation des appareillages</w:t>
            </w:r>
            <w:r w:rsidR="00177A91">
              <w:rPr>
                <w:lang w:val="fr-BE"/>
              </w:rPr>
              <w:t>.</w:t>
            </w:r>
            <w:r w:rsidRPr="00291103">
              <w:rPr>
                <w:lang w:val="fr-BE"/>
              </w:rPr>
              <w:t xml:space="preserve"> électriques avant le démontage et le nettoyage.</w:t>
            </w:r>
          </w:p>
          <w:p w14:paraId="3A32AE0A" w14:textId="77777777" w:rsidR="008F013B" w:rsidRPr="00291103" w:rsidRDefault="008F013B" w:rsidP="008F013B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291103">
              <w:rPr>
                <w:lang w:val="fr-BE"/>
              </w:rPr>
              <w:t>Vérifier la mise en place des protections sur la machine.</w:t>
            </w:r>
          </w:p>
          <w:p w14:paraId="454B917F" w14:textId="77777777" w:rsidR="008F013B" w:rsidRPr="00291103" w:rsidRDefault="008F013B" w:rsidP="008F013B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291103">
              <w:rPr>
                <w:lang w:val="fr-BE"/>
              </w:rPr>
              <w:t>Utiliser un poussoir protège-doigts.</w:t>
            </w:r>
          </w:p>
          <w:p w14:paraId="7F198322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Ranger adéquatement des ustensiles tranchants.</w:t>
            </w:r>
          </w:p>
          <w:p w14:paraId="10C8B2EE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Nettoyer séparément les couteaux ou les lames, un ustensile à la fois.</w:t>
            </w:r>
          </w:p>
          <w:p w14:paraId="7E85066F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Travailler avec des couteaux bien aiguisés.</w:t>
            </w:r>
          </w:p>
          <w:p w14:paraId="5054D672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61B3B2A5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5D95EF9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7E0FB103" w14:textId="77777777" w:rsidTr="008F013B">
        <w:tc>
          <w:tcPr>
            <w:tcW w:w="2972" w:type="dxa"/>
          </w:tcPr>
          <w:p w14:paraId="6413F478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Utilisation d’appareils électriques (mixeur, hachoir, etc.)</w:t>
            </w:r>
          </w:p>
        </w:tc>
        <w:tc>
          <w:tcPr>
            <w:tcW w:w="1985" w:type="dxa"/>
          </w:tcPr>
          <w:p w14:paraId="6C967A54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Électrisation </w:t>
            </w:r>
          </w:p>
          <w:p w14:paraId="63DFE771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Électrocution </w:t>
            </w:r>
          </w:p>
        </w:tc>
        <w:tc>
          <w:tcPr>
            <w:tcW w:w="1275" w:type="dxa"/>
          </w:tcPr>
          <w:p w14:paraId="1FBECEDE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7612D4F1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4B800787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Contrôler l’installation électrique. </w:t>
            </w:r>
          </w:p>
          <w:p w14:paraId="09ADA821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Vérifier l’état de fonctionnement des appareils (cordon d’alimentation non abîmé, faux contacts, etc.)</w:t>
            </w:r>
          </w:p>
          <w:p w14:paraId="6617A48C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Former à l’utilisation correcte d’appareils électriques.</w:t>
            </w:r>
          </w:p>
          <w:p w14:paraId="34106F4B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758A6151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8C44ECB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</w:tbl>
    <w:p w14:paraId="1F32AEF3" w14:textId="77777777" w:rsidR="00177A91" w:rsidRDefault="00177A91">
      <w:r>
        <w:br w:type="page"/>
      </w:r>
    </w:p>
    <w:tbl>
      <w:tblPr>
        <w:tblStyle w:val="Grilledutableau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275"/>
        <w:gridCol w:w="5103"/>
        <w:gridCol w:w="1701"/>
        <w:gridCol w:w="1843"/>
      </w:tblGrid>
      <w:tr w:rsidR="008F013B" w:rsidRPr="00291103" w14:paraId="69352550" w14:textId="77777777" w:rsidTr="008F013B">
        <w:tc>
          <w:tcPr>
            <w:tcW w:w="2972" w:type="dxa"/>
          </w:tcPr>
          <w:p w14:paraId="3B06B62D" w14:textId="7524C8A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lastRenderedPageBreak/>
              <w:t>Chaleur</w:t>
            </w:r>
          </w:p>
        </w:tc>
        <w:tc>
          <w:tcPr>
            <w:tcW w:w="1985" w:type="dxa"/>
          </w:tcPr>
          <w:p w14:paraId="0B87C061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Brûlure</w:t>
            </w:r>
          </w:p>
        </w:tc>
        <w:tc>
          <w:tcPr>
            <w:tcW w:w="1275" w:type="dxa"/>
          </w:tcPr>
          <w:p w14:paraId="71EC0F85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081C49B2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4043E630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Porter des gants thermiques lors de la manipulation de plats chauds.</w:t>
            </w:r>
          </w:p>
          <w:p w14:paraId="07E2A5F1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Ne pas transporter de friteuse avant que l’huile ait refroidi.</w:t>
            </w:r>
          </w:p>
          <w:p w14:paraId="1D04D49C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Éviter le déplacement de casseroles contenant des liquides brûlants.</w:t>
            </w:r>
          </w:p>
          <w:p w14:paraId="5D5D3824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Porter des vêtements adaptés à la chaleur. </w:t>
            </w:r>
          </w:p>
          <w:p w14:paraId="5C3FA441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Utiliser des maniques. </w:t>
            </w:r>
          </w:p>
          <w:p w14:paraId="108D3007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Ne pas disposer les casseroles, poêles, etc., avec les manches qui dépassent de la table de cuisson.</w:t>
            </w:r>
          </w:p>
          <w:p w14:paraId="13782AED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Attendre le refroidissement avant l’ouverture du lave-vaisselle.</w:t>
            </w:r>
          </w:p>
          <w:p w14:paraId="04138A49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organisationnelles</w:t>
            </w:r>
          </w:p>
          <w:p w14:paraId="7CACD13B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Utiliser des ustensiles de cuisine munis de poignées et de manches anti-brûlures/isolants.</w:t>
            </w:r>
          </w:p>
          <w:p w14:paraId="0CE3C5EA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une trousse de premiers secours.</w:t>
            </w:r>
          </w:p>
          <w:p w14:paraId="192C50B1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Former aux premiers soins des brûlures. </w:t>
            </w:r>
          </w:p>
          <w:p w14:paraId="54204FFF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701" w:type="dxa"/>
          </w:tcPr>
          <w:p w14:paraId="76A9BE3A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8F3BA0B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0CF2661E" w14:textId="77777777" w:rsidTr="008F013B">
        <w:tc>
          <w:tcPr>
            <w:tcW w:w="2972" w:type="dxa"/>
          </w:tcPr>
          <w:p w14:paraId="36E56ECA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Froid</w:t>
            </w:r>
          </w:p>
        </w:tc>
        <w:tc>
          <w:tcPr>
            <w:tcW w:w="1985" w:type="dxa"/>
          </w:tcPr>
          <w:p w14:paraId="1AD81779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Brûlure</w:t>
            </w:r>
          </w:p>
        </w:tc>
        <w:tc>
          <w:tcPr>
            <w:tcW w:w="1275" w:type="dxa"/>
          </w:tcPr>
          <w:p w14:paraId="6F09397F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4FEFB459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39E693DF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Utiliser des gants thermiques.</w:t>
            </w:r>
          </w:p>
          <w:p w14:paraId="5DC3AE2C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Porter des vêtements adaptés au froid.</w:t>
            </w:r>
          </w:p>
          <w:p w14:paraId="36FDB7DC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3E833FA6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C2D9D25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1886137E" w14:textId="77777777" w:rsidTr="008F013B">
        <w:tc>
          <w:tcPr>
            <w:tcW w:w="2972" w:type="dxa"/>
          </w:tcPr>
          <w:p w14:paraId="4A443FED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Sols glissants ou sols avec des dénivellations</w:t>
            </w:r>
          </w:p>
        </w:tc>
        <w:tc>
          <w:tcPr>
            <w:tcW w:w="1985" w:type="dxa"/>
          </w:tcPr>
          <w:p w14:paraId="37553553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Chute </w:t>
            </w:r>
          </w:p>
          <w:p w14:paraId="19C1174C" w14:textId="77777777" w:rsidR="008F013B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Glissade</w:t>
            </w:r>
          </w:p>
          <w:p w14:paraId="5AEB7CE7" w14:textId="022686D1" w:rsidR="003A5BE2" w:rsidRPr="00291103" w:rsidRDefault="003A5BE2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>
              <w:rPr>
                <w:lang w:val="fr-BE"/>
              </w:rPr>
              <w:t>Trébuchement</w:t>
            </w:r>
          </w:p>
        </w:tc>
        <w:tc>
          <w:tcPr>
            <w:tcW w:w="1275" w:type="dxa"/>
          </w:tcPr>
          <w:p w14:paraId="17239C43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4C2E70DC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2CAC7C71" w14:textId="1B0EBB92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Porter des chaussures de cuisine en bon état avec des semelles antidérapantes</w:t>
            </w:r>
            <w:r w:rsidR="003A5BE2">
              <w:rPr>
                <w:lang w:val="fr-BE"/>
              </w:rPr>
              <w:t>.</w:t>
            </w:r>
          </w:p>
          <w:p w14:paraId="702ED0B1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Signaler des déformations, les dégradations dans le sol.</w:t>
            </w:r>
          </w:p>
          <w:p w14:paraId="4F0907BE" w14:textId="2CBAA68A" w:rsidR="008F013B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Nettoyer immédiatement les déversements au sol.</w:t>
            </w:r>
          </w:p>
          <w:p w14:paraId="0F93D3A7" w14:textId="4C6EE119" w:rsidR="00E61E25" w:rsidRDefault="00E61E25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>
              <w:rPr>
                <w:lang w:val="fr-BE"/>
              </w:rPr>
              <w:t>Maintenir les sols et les passages dégagés.</w:t>
            </w:r>
          </w:p>
          <w:p w14:paraId="54BE65F4" w14:textId="77777777" w:rsidR="00E61E25" w:rsidRPr="00291103" w:rsidRDefault="00E61E25" w:rsidP="00E61E25">
            <w:pPr>
              <w:pStyle w:val="Paragraphedeliste"/>
              <w:ind w:left="360"/>
              <w:rPr>
                <w:lang w:val="fr-BE"/>
              </w:rPr>
            </w:pPr>
          </w:p>
          <w:p w14:paraId="287ADE2A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0CA9B871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Entretenir le sol, réparer et remplacer au besoin.</w:t>
            </w:r>
          </w:p>
          <w:p w14:paraId="66158FF4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Placer un revêtement de sol antidérapant.</w:t>
            </w:r>
          </w:p>
          <w:p w14:paraId="644079BA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Signaler les escaliers et les dénivelés dans le sol.</w:t>
            </w:r>
          </w:p>
          <w:p w14:paraId="188AB89A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Prévoir un éclairage suffisant. </w:t>
            </w:r>
          </w:p>
          <w:p w14:paraId="1CD8B23B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Entretenir les hottes afin d’éviter la condensation au sol.</w:t>
            </w:r>
          </w:p>
          <w:p w14:paraId="403A4372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163A473B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4CB5B9A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2DB0F4EB" w14:textId="77777777" w:rsidTr="008F013B">
        <w:tc>
          <w:tcPr>
            <w:tcW w:w="2972" w:type="dxa"/>
          </w:tcPr>
          <w:p w14:paraId="6AA67581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Charges lourdes et encombrantes et mouvements répétitifs</w:t>
            </w:r>
          </w:p>
        </w:tc>
        <w:tc>
          <w:tcPr>
            <w:tcW w:w="1985" w:type="dxa"/>
          </w:tcPr>
          <w:p w14:paraId="0EF6C091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Faux mouvement</w:t>
            </w:r>
          </w:p>
          <w:p w14:paraId="2B4620F7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Contusion </w:t>
            </w:r>
          </w:p>
          <w:p w14:paraId="3C6B769A" w14:textId="7E9D0A3C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Troubles </w:t>
            </w:r>
            <w:proofErr w:type="spellStart"/>
            <w:r w:rsidRPr="00291103">
              <w:rPr>
                <w:lang w:val="fr-BE"/>
              </w:rPr>
              <w:t>musculosque</w:t>
            </w:r>
            <w:r w:rsidR="00746CC3">
              <w:rPr>
                <w:lang w:val="fr-BE"/>
              </w:rPr>
              <w:t>-</w:t>
            </w:r>
            <w:r w:rsidRPr="00291103">
              <w:rPr>
                <w:lang w:val="fr-BE"/>
              </w:rPr>
              <w:t>lettiques</w:t>
            </w:r>
            <w:proofErr w:type="spellEnd"/>
            <w:r w:rsidR="00127329">
              <w:rPr>
                <w:rStyle w:val="Appelnotedebasdep"/>
                <w:lang w:val="fr-BE"/>
              </w:rPr>
              <w:footnoteReference w:id="1"/>
            </w:r>
          </w:p>
          <w:p w14:paraId="01B1C7BE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Fatigue</w:t>
            </w:r>
          </w:p>
        </w:tc>
        <w:tc>
          <w:tcPr>
            <w:tcW w:w="1275" w:type="dxa"/>
          </w:tcPr>
          <w:p w14:paraId="1C4876AD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22FD9C99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766D6A94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Utiliser un moyen de transport adapté ou porter les objets lourds à deux. </w:t>
            </w:r>
          </w:p>
          <w:p w14:paraId="5E9E972A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En cas de travail debout prolongé, surélever alternativement un pied puis l’autre. </w:t>
            </w:r>
          </w:p>
          <w:p w14:paraId="051A1994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Alterner les tâches et les positions de travail.</w:t>
            </w:r>
          </w:p>
          <w:p w14:paraId="5553E4C8" w14:textId="77777777" w:rsidR="008F013B" w:rsidRPr="007572BE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Adapter la hauteur du travail à la tâche et à la personne</w:t>
            </w:r>
          </w:p>
          <w:p w14:paraId="0E7CB855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61B84907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Mettre à disposition des moyens de transport mécanique pour la manutention manuelle.</w:t>
            </w:r>
          </w:p>
          <w:p w14:paraId="75D67B90" w14:textId="1B546196" w:rsidR="008F013B" w:rsidRPr="00291103" w:rsidRDefault="00241FDE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>
              <w:rPr>
                <w:lang w:val="fr-BE"/>
              </w:rPr>
              <w:t xml:space="preserve">Organiser le rangement </w:t>
            </w:r>
            <w:r w:rsidR="008F013B" w:rsidRPr="00291103">
              <w:rPr>
                <w:lang w:val="fr-BE"/>
              </w:rPr>
              <w:t>de manière adéquate (tenant compte du poids et de la fréquence d’utilisation).</w:t>
            </w:r>
          </w:p>
          <w:p w14:paraId="404F4457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des rehausses pour adapter la hauteur de travail.</w:t>
            </w:r>
          </w:p>
          <w:p w14:paraId="3BFD8F5A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Organiser le travail de façon à pouvoir alterner les tâches et les positions de travail.</w:t>
            </w:r>
          </w:p>
          <w:p w14:paraId="0971500F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5B18F330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7366AED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22150FF7" w14:textId="77777777" w:rsidTr="008F013B">
        <w:tc>
          <w:tcPr>
            <w:tcW w:w="2972" w:type="dxa"/>
          </w:tcPr>
          <w:p w14:paraId="78B0A7A5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 xml:space="preserve">Chute d’objets </w:t>
            </w:r>
          </w:p>
        </w:tc>
        <w:tc>
          <w:tcPr>
            <w:tcW w:w="1985" w:type="dxa"/>
          </w:tcPr>
          <w:p w14:paraId="2C1C61B3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Plaie</w:t>
            </w:r>
          </w:p>
          <w:p w14:paraId="57DCD423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Contusion</w:t>
            </w:r>
          </w:p>
          <w:p w14:paraId="4DC320D3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Fracture</w:t>
            </w:r>
          </w:p>
        </w:tc>
        <w:tc>
          <w:tcPr>
            <w:tcW w:w="1275" w:type="dxa"/>
          </w:tcPr>
          <w:p w14:paraId="51CF1DE3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11BA6223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365395EF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Respecter la charge maximale des supports de stockage.</w:t>
            </w:r>
          </w:p>
          <w:p w14:paraId="3FABB4A9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Limiter la hauteur de stockage. </w:t>
            </w:r>
          </w:p>
          <w:p w14:paraId="393E9222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organisationnelles</w:t>
            </w:r>
          </w:p>
          <w:p w14:paraId="3078FAEB" w14:textId="0F307B88" w:rsidR="008F013B" w:rsidRPr="00291103" w:rsidRDefault="008F013B" w:rsidP="008F013B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291103">
              <w:rPr>
                <w:lang w:val="fr-BE"/>
              </w:rPr>
              <w:t>Consolider/fixer les étagères et les racks de rangement</w:t>
            </w:r>
            <w:r w:rsidR="00241FDE">
              <w:rPr>
                <w:lang w:val="fr-BE"/>
              </w:rPr>
              <w:t>.</w:t>
            </w:r>
          </w:p>
          <w:p w14:paraId="2C3ED7AC" w14:textId="77777777" w:rsidR="008F013B" w:rsidRPr="00291103" w:rsidRDefault="008F013B" w:rsidP="008F013B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291103">
              <w:rPr>
                <w:lang w:val="fr-BE"/>
              </w:rPr>
              <w:t>Organiser le stockage de façon à maintenir la stabilité des supports (répartir la charge, pas de charge lourde en hauteur).</w:t>
            </w:r>
          </w:p>
          <w:p w14:paraId="01E4B436" w14:textId="77777777" w:rsidR="008F013B" w:rsidRPr="00291103" w:rsidRDefault="008F013B" w:rsidP="00E542A8">
            <w:pPr>
              <w:pStyle w:val="Paragraphedeliste"/>
              <w:ind w:left="1080"/>
              <w:rPr>
                <w:lang w:val="fr-BE"/>
              </w:rPr>
            </w:pPr>
          </w:p>
        </w:tc>
        <w:tc>
          <w:tcPr>
            <w:tcW w:w="1701" w:type="dxa"/>
          </w:tcPr>
          <w:p w14:paraId="3DE21D1C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6839C6F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53956EF9" w14:textId="77777777" w:rsidTr="008F013B">
        <w:tc>
          <w:tcPr>
            <w:tcW w:w="2972" w:type="dxa"/>
          </w:tcPr>
          <w:p w14:paraId="1D122EB4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Produits d’entretien/produits détergents</w:t>
            </w:r>
          </w:p>
        </w:tc>
        <w:tc>
          <w:tcPr>
            <w:tcW w:w="1985" w:type="dxa"/>
          </w:tcPr>
          <w:p w14:paraId="5D967D2A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Brûlure</w:t>
            </w:r>
          </w:p>
          <w:p w14:paraId="714CA2ED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Irritation</w:t>
            </w:r>
          </w:p>
          <w:p w14:paraId="241342CE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Intoxication</w:t>
            </w:r>
          </w:p>
        </w:tc>
        <w:tc>
          <w:tcPr>
            <w:tcW w:w="1275" w:type="dxa"/>
          </w:tcPr>
          <w:p w14:paraId="11F6911C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3B29A275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474A40B0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Porter des gants de protection adaptés.</w:t>
            </w:r>
          </w:p>
          <w:p w14:paraId="06A08625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Porter des lunettes de protection.</w:t>
            </w:r>
          </w:p>
          <w:p w14:paraId="5746E3A0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Respecter les instructions d’utilisation prévues par le fabricant.</w:t>
            </w:r>
          </w:p>
          <w:p w14:paraId="55975514" w14:textId="3B1CFDF3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Ne pas mélanger, ne pas transvaser les produits dans des contenants non adaptés.</w:t>
            </w:r>
          </w:p>
          <w:p w14:paraId="29A7C5F2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 Mesures organisationnelles </w:t>
            </w:r>
          </w:p>
          <w:p w14:paraId="24619B0D" w14:textId="62471E21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Former à l’utilisation des produits.</w:t>
            </w:r>
          </w:p>
          <w:p w14:paraId="4F85F5CC" w14:textId="5D5BC36F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Remplacer les produits dangereux par des moins nocifs.</w:t>
            </w:r>
          </w:p>
          <w:p w14:paraId="6133762A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Assurer un bon étiquetage des produits.</w:t>
            </w:r>
          </w:p>
          <w:p w14:paraId="0E49080C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Mettre à disposition les fiches de données de sécurité et les instructions d’utilisation.</w:t>
            </w:r>
          </w:p>
          <w:p w14:paraId="22C65F38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Communiquer les mesures à prendre en cas de contact accidentel avec la peau et les yeux. </w:t>
            </w:r>
          </w:p>
          <w:p w14:paraId="2F3FBD4A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3B4D8079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7466B77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5656F292" w14:textId="77777777" w:rsidTr="008F013B">
        <w:tc>
          <w:tcPr>
            <w:tcW w:w="2972" w:type="dxa"/>
          </w:tcPr>
          <w:p w14:paraId="26CF2FE2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Manipulation des denrées alimentaires</w:t>
            </w:r>
          </w:p>
        </w:tc>
        <w:tc>
          <w:tcPr>
            <w:tcW w:w="1985" w:type="dxa"/>
          </w:tcPr>
          <w:p w14:paraId="756CBA61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Maladie</w:t>
            </w:r>
          </w:p>
          <w:p w14:paraId="67370DCD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Irritation</w:t>
            </w:r>
          </w:p>
          <w:p w14:paraId="46196756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Allergie</w:t>
            </w:r>
          </w:p>
        </w:tc>
        <w:tc>
          <w:tcPr>
            <w:tcW w:w="1275" w:type="dxa"/>
          </w:tcPr>
          <w:p w14:paraId="579E1D5E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67D971CB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1BEF6000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Porter des gants de protection adaptés</w:t>
            </w:r>
          </w:p>
          <w:p w14:paraId="49429F04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Porter de longues manches. </w:t>
            </w:r>
          </w:p>
          <w:p w14:paraId="1BDB2D14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425D1CD3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Instaurer des procédures relatives à la sécurité alimentaire (identification des produits allergènes, etc.).</w:t>
            </w:r>
          </w:p>
          <w:p w14:paraId="0927AC36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  <w:p w14:paraId="52065A20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58BC548A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C0426F2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3AB12A5E" w14:textId="77777777" w:rsidTr="008F013B">
        <w:tc>
          <w:tcPr>
            <w:tcW w:w="2972" w:type="dxa"/>
          </w:tcPr>
          <w:p w14:paraId="60A4B104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Travail rapide et « coup de feu »</w:t>
            </w:r>
          </w:p>
        </w:tc>
        <w:tc>
          <w:tcPr>
            <w:tcW w:w="1985" w:type="dxa"/>
          </w:tcPr>
          <w:p w14:paraId="2927C876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Stress</w:t>
            </w:r>
          </w:p>
          <w:p w14:paraId="764220D2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Fatigue </w:t>
            </w:r>
          </w:p>
        </w:tc>
        <w:tc>
          <w:tcPr>
            <w:tcW w:w="1275" w:type="dxa"/>
          </w:tcPr>
          <w:p w14:paraId="61F1FCD7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1B7DBB52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4187EBE4" w14:textId="557631A6" w:rsidR="008F013B" w:rsidRPr="00291103" w:rsidRDefault="00EB5C8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>
              <w:rPr>
                <w:lang w:val="fr-BE"/>
              </w:rPr>
              <w:t>Prévoir</w:t>
            </w:r>
            <w:r w:rsidR="008F013B" w:rsidRPr="00291103">
              <w:rPr>
                <w:lang w:val="fr-BE"/>
              </w:rPr>
              <w:t xml:space="preserve"> une bonne organisation du travail préparatoire.</w:t>
            </w:r>
          </w:p>
          <w:p w14:paraId="16715F06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un supplément de personnel aux périodes d’affluence.</w:t>
            </w:r>
          </w:p>
          <w:p w14:paraId="165730D0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Établir des ordres de travail clairs et prévoir une répartition équilibrée des tâches dans l’équipe.</w:t>
            </w:r>
          </w:p>
          <w:p w14:paraId="29F867EB" w14:textId="77777777" w:rsidR="008F013B" w:rsidRPr="00291103" w:rsidRDefault="008F013B" w:rsidP="008F013B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une pause/un moment de récupération après les coups de feu.</w:t>
            </w:r>
          </w:p>
          <w:p w14:paraId="39B7595F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49EC516D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09FC9A1E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07C29B50" w14:textId="77777777" w:rsidTr="008F013B">
        <w:tc>
          <w:tcPr>
            <w:tcW w:w="2972" w:type="dxa"/>
          </w:tcPr>
          <w:p w14:paraId="39B33E34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Organisation du travail et lieu de travail (désordre, manque d’espace)</w:t>
            </w:r>
          </w:p>
        </w:tc>
        <w:tc>
          <w:tcPr>
            <w:tcW w:w="1985" w:type="dxa"/>
          </w:tcPr>
          <w:p w14:paraId="2C661381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Chute</w:t>
            </w:r>
          </w:p>
          <w:p w14:paraId="630701B2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Choc</w:t>
            </w:r>
          </w:p>
          <w:p w14:paraId="1ED8EE98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Coupure</w:t>
            </w:r>
          </w:p>
          <w:p w14:paraId="03460A66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Brûlure</w:t>
            </w:r>
          </w:p>
          <w:p w14:paraId="3109A1FA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Stress</w:t>
            </w:r>
          </w:p>
        </w:tc>
        <w:tc>
          <w:tcPr>
            <w:tcW w:w="1275" w:type="dxa"/>
          </w:tcPr>
          <w:p w14:paraId="5997D321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308B8BA1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747875E1" w14:textId="77777777" w:rsidR="008F013B" w:rsidRPr="00291103" w:rsidRDefault="008F013B" w:rsidP="008F013B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Ranger convenablement les ustensiles après utilisation. </w:t>
            </w:r>
          </w:p>
          <w:p w14:paraId="4C4F2323" w14:textId="77777777" w:rsidR="008F013B" w:rsidRPr="00291103" w:rsidRDefault="008F013B" w:rsidP="008F013B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Ne rien laisser traîner et dégager les passages. </w:t>
            </w:r>
          </w:p>
          <w:p w14:paraId="1303CCDC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 Mesures organisationnelles </w:t>
            </w:r>
          </w:p>
          <w:p w14:paraId="13D6D0EB" w14:textId="77777777" w:rsidR="008F013B" w:rsidRPr="00291103" w:rsidRDefault="008F013B" w:rsidP="008F013B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Donner des instructions de travail/des tâches claires et s’assurer qu’elles sont bien comprises. </w:t>
            </w:r>
          </w:p>
          <w:p w14:paraId="3319754E" w14:textId="77777777" w:rsidR="008F013B" w:rsidRPr="00291103" w:rsidRDefault="008F013B" w:rsidP="008F013B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Prévoir des pauses. </w:t>
            </w:r>
          </w:p>
          <w:p w14:paraId="72B5F212" w14:textId="77777777" w:rsidR="008F013B" w:rsidRPr="00291103" w:rsidRDefault="008F013B" w:rsidP="008F013B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291103">
              <w:rPr>
                <w:lang w:val="fr-BE"/>
              </w:rPr>
              <w:t>Organiser les espaces de travail pour éviter les déplacements inutiles, les croisements de personnes.</w:t>
            </w:r>
          </w:p>
          <w:p w14:paraId="49149A58" w14:textId="77777777" w:rsidR="008F013B" w:rsidRPr="00291103" w:rsidRDefault="008F013B" w:rsidP="008F013B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Former au rangement adéquat du matériel. </w:t>
            </w:r>
          </w:p>
          <w:p w14:paraId="3671FAE9" w14:textId="77777777" w:rsidR="008F013B" w:rsidRPr="00291103" w:rsidRDefault="008F013B" w:rsidP="008F013B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des rangements en nombre suffisant.</w:t>
            </w:r>
          </w:p>
          <w:p w14:paraId="4DB3876C" w14:textId="77777777" w:rsidR="008F013B" w:rsidRPr="00291103" w:rsidRDefault="008F013B" w:rsidP="008F013B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Prévoir des espaces de travail adaptés à la tâche et des zones de passage suffisamment larges. </w:t>
            </w:r>
          </w:p>
          <w:p w14:paraId="7B5F1EB6" w14:textId="77777777" w:rsidR="008F013B" w:rsidRPr="00291103" w:rsidRDefault="008F013B" w:rsidP="008F013B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S’assurer du bon état du matériel mis à disposition. </w:t>
            </w:r>
          </w:p>
          <w:p w14:paraId="0B2A1C37" w14:textId="77777777" w:rsidR="008F013B" w:rsidRPr="00291103" w:rsidRDefault="008F013B" w:rsidP="008F013B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291103">
              <w:rPr>
                <w:lang w:val="fr-BE"/>
              </w:rPr>
              <w:t>Éviter le mobilier avec des arêtes vives ou protéger les angles.</w:t>
            </w:r>
          </w:p>
          <w:p w14:paraId="69891344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4AB4F4C4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B1ECD9C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15F516C5" w14:textId="77777777" w:rsidTr="008F013B">
        <w:tc>
          <w:tcPr>
            <w:tcW w:w="2972" w:type="dxa"/>
          </w:tcPr>
          <w:p w14:paraId="4FCD0409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Flamme nue et gaz (cuisinière au gaz, chalumeau de cuisine, etc.)</w:t>
            </w:r>
          </w:p>
        </w:tc>
        <w:tc>
          <w:tcPr>
            <w:tcW w:w="1985" w:type="dxa"/>
          </w:tcPr>
          <w:p w14:paraId="07209B0D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Incendie</w:t>
            </w:r>
          </w:p>
          <w:p w14:paraId="08E8E3AB" w14:textId="77777777" w:rsidR="008F013B" w:rsidRPr="00291103" w:rsidRDefault="008F013B" w:rsidP="008F013B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291103">
              <w:rPr>
                <w:lang w:val="fr-BE"/>
              </w:rPr>
              <w:t>Explosion</w:t>
            </w:r>
          </w:p>
        </w:tc>
        <w:tc>
          <w:tcPr>
            <w:tcW w:w="1275" w:type="dxa"/>
          </w:tcPr>
          <w:p w14:paraId="6972D576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7573EE80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7B918E25" w14:textId="77777777" w:rsidR="008F013B" w:rsidRPr="00291103" w:rsidRDefault="008F013B" w:rsidP="008F013B">
            <w:pPr>
              <w:pStyle w:val="Paragraphedeliste"/>
              <w:numPr>
                <w:ilvl w:val="0"/>
                <w:numId w:val="9"/>
              </w:numPr>
              <w:rPr>
                <w:lang w:val="fr-BE"/>
              </w:rPr>
            </w:pPr>
            <w:r w:rsidRPr="00291103">
              <w:rPr>
                <w:lang w:val="fr-BE"/>
              </w:rPr>
              <w:t>Respecter les précautions relatives à l’utilisation des cuisinières au gaz, des chalumeaux de cuisine, etc.).</w:t>
            </w:r>
          </w:p>
          <w:p w14:paraId="1A072624" w14:textId="77777777" w:rsidR="008F013B" w:rsidRPr="00291103" w:rsidRDefault="008F013B" w:rsidP="008F013B">
            <w:pPr>
              <w:pStyle w:val="Paragraphedeliste"/>
              <w:numPr>
                <w:ilvl w:val="0"/>
                <w:numId w:val="9"/>
              </w:numPr>
              <w:rPr>
                <w:lang w:val="fr-BE"/>
              </w:rPr>
            </w:pPr>
            <w:r w:rsidRPr="00291103">
              <w:rPr>
                <w:lang w:val="fr-BE"/>
              </w:rPr>
              <w:t>Suivre les consignes en cas d’incendie et la procédure d’évacuation.</w:t>
            </w:r>
          </w:p>
          <w:p w14:paraId="1F4F00EE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organisationnelles</w:t>
            </w:r>
          </w:p>
          <w:p w14:paraId="34E379BC" w14:textId="77777777" w:rsidR="008F013B" w:rsidRPr="00291103" w:rsidRDefault="008F013B" w:rsidP="008F013B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lang w:val="fr-BE"/>
              </w:rPr>
            </w:pPr>
            <w:r w:rsidRPr="00291103">
              <w:rPr>
                <w:lang w:val="fr-BE"/>
              </w:rPr>
              <w:t>Prévoir les moyens d’extinction adaptés.</w:t>
            </w:r>
          </w:p>
          <w:p w14:paraId="15C201E2" w14:textId="77777777" w:rsidR="008F013B" w:rsidRPr="00291103" w:rsidRDefault="008F013B" w:rsidP="008F013B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lang w:val="fr-BE"/>
              </w:rPr>
            </w:pPr>
            <w:r w:rsidRPr="00291103">
              <w:rPr>
                <w:lang w:val="fr-BE"/>
              </w:rPr>
              <w:t>Former à l’utilisation des moyens d’extinction.</w:t>
            </w:r>
          </w:p>
          <w:p w14:paraId="4ECEF3BF" w14:textId="77777777" w:rsidR="008F013B" w:rsidRPr="00291103" w:rsidRDefault="008F013B" w:rsidP="008F013B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lang w:val="fr-BE"/>
              </w:rPr>
            </w:pPr>
            <w:r w:rsidRPr="00291103">
              <w:rPr>
                <w:lang w:val="fr-BE"/>
              </w:rPr>
              <w:t>Former à l’utilisation adéquate des techniques de flambage.</w:t>
            </w:r>
          </w:p>
          <w:p w14:paraId="7469CC83" w14:textId="77777777" w:rsidR="008F013B" w:rsidRPr="00291103" w:rsidRDefault="008F013B" w:rsidP="008F013B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lang w:val="fr-BE"/>
              </w:rPr>
            </w:pPr>
            <w:r w:rsidRPr="00291103">
              <w:rPr>
                <w:lang w:val="fr-BE"/>
              </w:rPr>
              <w:t>Contrôler le bon fonctionnement des installations au gaz.</w:t>
            </w:r>
          </w:p>
          <w:p w14:paraId="19D7AD89" w14:textId="77777777" w:rsidR="008F013B" w:rsidRPr="00291103" w:rsidRDefault="008F013B" w:rsidP="008F013B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lang w:val="fr-BE"/>
              </w:rPr>
            </w:pPr>
            <w:r w:rsidRPr="00291103">
              <w:rPr>
                <w:lang w:val="fr-BE"/>
              </w:rPr>
              <w:t xml:space="preserve">Ventiler suffisamment </w:t>
            </w:r>
            <w:r>
              <w:rPr>
                <w:lang w:val="fr-BE"/>
              </w:rPr>
              <w:t>l</w:t>
            </w:r>
            <w:r w:rsidRPr="00291103">
              <w:rPr>
                <w:lang w:val="fr-BE"/>
              </w:rPr>
              <w:t>es locaux contenant des produits inflammables (bombonnes de gaz, etc.).</w:t>
            </w:r>
          </w:p>
          <w:p w14:paraId="022922A3" w14:textId="77777777" w:rsidR="008F013B" w:rsidRPr="00291103" w:rsidRDefault="008F013B" w:rsidP="008F013B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lang w:val="fr-BE"/>
              </w:rPr>
            </w:pPr>
            <w:r w:rsidRPr="00291103">
              <w:rPr>
                <w:lang w:val="fr-BE"/>
              </w:rPr>
              <w:t xml:space="preserve">Informer sur la procédure incendie et d’évacuation. </w:t>
            </w:r>
          </w:p>
        </w:tc>
        <w:tc>
          <w:tcPr>
            <w:tcW w:w="1701" w:type="dxa"/>
          </w:tcPr>
          <w:p w14:paraId="7F226DB9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6D86059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553721CC" w14:textId="77777777" w:rsidTr="008F013B">
        <w:tc>
          <w:tcPr>
            <w:tcW w:w="14879" w:type="dxa"/>
            <w:gridSpan w:val="6"/>
            <w:shd w:val="clear" w:color="auto" w:fill="D9E2F3" w:themeFill="accent1" w:themeFillTint="33"/>
          </w:tcPr>
          <w:p w14:paraId="76772E46" w14:textId="77777777" w:rsidR="008F013B" w:rsidRPr="00291103" w:rsidRDefault="008F013B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>Plongeur</w:t>
            </w:r>
          </w:p>
        </w:tc>
      </w:tr>
      <w:tr w:rsidR="008F013B" w:rsidRPr="00291103" w14:paraId="55E86426" w14:textId="77777777" w:rsidTr="008F013B">
        <w:tc>
          <w:tcPr>
            <w:tcW w:w="2972" w:type="dxa"/>
          </w:tcPr>
          <w:p w14:paraId="3F187E61" w14:textId="77777777" w:rsidR="008F013B" w:rsidRPr="00291103" w:rsidRDefault="008F013B" w:rsidP="00E542A8">
            <w:pPr>
              <w:rPr>
                <w:b/>
                <w:lang w:val="fr-BE"/>
              </w:rPr>
            </w:pPr>
            <w:bookmarkStart w:id="2" w:name="_Hlk2242774"/>
            <w:r w:rsidRPr="00291103">
              <w:rPr>
                <w:b/>
                <w:lang w:val="fr-BE"/>
              </w:rPr>
              <w:t>Dangers</w:t>
            </w:r>
          </w:p>
        </w:tc>
        <w:tc>
          <w:tcPr>
            <w:tcW w:w="1985" w:type="dxa"/>
          </w:tcPr>
          <w:p w14:paraId="29B51EF7" w14:textId="77777777" w:rsidR="008F013B" w:rsidRPr="00291103" w:rsidRDefault="008F013B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>Risques</w:t>
            </w:r>
          </w:p>
        </w:tc>
        <w:tc>
          <w:tcPr>
            <w:tcW w:w="1275" w:type="dxa"/>
          </w:tcPr>
          <w:p w14:paraId="2471A766" w14:textId="77777777" w:rsidR="008F013B" w:rsidRPr="00291103" w:rsidRDefault="008F013B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 xml:space="preserve">Évaluation des risques </w:t>
            </w:r>
          </w:p>
        </w:tc>
        <w:tc>
          <w:tcPr>
            <w:tcW w:w="5103" w:type="dxa"/>
          </w:tcPr>
          <w:p w14:paraId="372FBA57" w14:textId="77777777" w:rsidR="008F013B" w:rsidRPr="00291103" w:rsidRDefault="008F013B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>Mesures de prévention des risques</w:t>
            </w:r>
          </w:p>
        </w:tc>
        <w:tc>
          <w:tcPr>
            <w:tcW w:w="1701" w:type="dxa"/>
          </w:tcPr>
          <w:p w14:paraId="3D0C5D9E" w14:textId="77777777" w:rsidR="008F013B" w:rsidRPr="00291103" w:rsidRDefault="008F013B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>Évaluation des risques</w:t>
            </w:r>
          </w:p>
        </w:tc>
        <w:tc>
          <w:tcPr>
            <w:tcW w:w="1843" w:type="dxa"/>
          </w:tcPr>
          <w:p w14:paraId="1E705137" w14:textId="77777777" w:rsidR="008F013B" w:rsidRPr="00291103" w:rsidRDefault="008F013B" w:rsidP="00E542A8">
            <w:pPr>
              <w:rPr>
                <w:b/>
                <w:lang w:val="fr-BE"/>
              </w:rPr>
            </w:pPr>
            <w:r w:rsidRPr="00291103">
              <w:rPr>
                <w:b/>
                <w:lang w:val="fr-BE"/>
              </w:rPr>
              <w:t>Remarques</w:t>
            </w:r>
          </w:p>
        </w:tc>
      </w:tr>
      <w:bookmarkEnd w:id="2"/>
      <w:tr w:rsidR="008F013B" w:rsidRPr="00291103" w14:paraId="22FBFAEC" w14:textId="77777777" w:rsidTr="008F013B">
        <w:tc>
          <w:tcPr>
            <w:tcW w:w="2972" w:type="dxa"/>
          </w:tcPr>
          <w:p w14:paraId="4F56F659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Mauvaises postures</w:t>
            </w:r>
          </w:p>
        </w:tc>
        <w:tc>
          <w:tcPr>
            <w:tcW w:w="1985" w:type="dxa"/>
          </w:tcPr>
          <w:p w14:paraId="5635876D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Troubles musculosquelettiques</w:t>
            </w:r>
          </w:p>
        </w:tc>
        <w:tc>
          <w:tcPr>
            <w:tcW w:w="1275" w:type="dxa"/>
          </w:tcPr>
          <w:p w14:paraId="5E994B4B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39EA6F43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71BB3035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Adapter la hauteur de travail (rehausse ou marchepied).</w:t>
            </w:r>
          </w:p>
          <w:p w14:paraId="35355D69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Rester proche des objets à manipuler.</w:t>
            </w:r>
          </w:p>
          <w:p w14:paraId="5B4D5E3C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Maintenir l’espace de travail dégagé.</w:t>
            </w:r>
          </w:p>
          <w:p w14:paraId="4224FC83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1FF809D4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Formation à la bonne posture de travail.</w:t>
            </w:r>
          </w:p>
          <w:p w14:paraId="099DD47F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suffisamment d’espace au poste de travail et les équipements pour adapter la hauteur de travail.</w:t>
            </w:r>
          </w:p>
          <w:p w14:paraId="06EDD4BF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6D07573C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DAA8D4F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 xml:space="preserve"> </w:t>
            </w:r>
          </w:p>
        </w:tc>
      </w:tr>
      <w:tr w:rsidR="008F013B" w:rsidRPr="00291103" w14:paraId="09D9765E" w14:textId="77777777" w:rsidTr="008F013B">
        <w:tc>
          <w:tcPr>
            <w:tcW w:w="2972" w:type="dxa"/>
          </w:tcPr>
          <w:p w14:paraId="37D606CD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Manutention de charges et mouvements répétitifs</w:t>
            </w:r>
          </w:p>
        </w:tc>
        <w:tc>
          <w:tcPr>
            <w:tcW w:w="1985" w:type="dxa"/>
          </w:tcPr>
          <w:p w14:paraId="28CFC2DC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Faux mouvement</w:t>
            </w:r>
          </w:p>
          <w:p w14:paraId="45734A56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Chute d’objet</w:t>
            </w:r>
          </w:p>
          <w:p w14:paraId="72F7ABF7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Troubles musculosquelettiques</w:t>
            </w:r>
          </w:p>
          <w:p w14:paraId="228D240F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Fatigue</w:t>
            </w:r>
          </w:p>
        </w:tc>
        <w:tc>
          <w:tcPr>
            <w:tcW w:w="1275" w:type="dxa"/>
          </w:tcPr>
          <w:p w14:paraId="1BAD1AB5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5AE661A0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533C2917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Utiliser un chariot de transport.</w:t>
            </w:r>
          </w:p>
          <w:p w14:paraId="46013BC2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Adapter la hauteur du travail.</w:t>
            </w:r>
          </w:p>
          <w:p w14:paraId="385E6A9A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Alterner les tâches autant que possible.</w:t>
            </w:r>
          </w:p>
          <w:p w14:paraId="192C69B8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 Mesures organisationnelles </w:t>
            </w:r>
          </w:p>
          <w:p w14:paraId="57E06E2A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Limiter le port manuel de charges par la mise à disposition de moyens de transport mécanique.</w:t>
            </w:r>
          </w:p>
          <w:p w14:paraId="57EF358C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Ranger les objets en tenant compte du poids et de la fréquence d’utilisation.</w:t>
            </w:r>
          </w:p>
          <w:p w14:paraId="0EE6121B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2B514BE9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8D9E2AA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0014BA8A" w14:textId="77777777" w:rsidTr="008F013B">
        <w:tc>
          <w:tcPr>
            <w:tcW w:w="2972" w:type="dxa"/>
          </w:tcPr>
          <w:p w14:paraId="769EA91F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Sols glissants ou avec des dénivellations, passages encombrés</w:t>
            </w:r>
          </w:p>
        </w:tc>
        <w:tc>
          <w:tcPr>
            <w:tcW w:w="1985" w:type="dxa"/>
          </w:tcPr>
          <w:p w14:paraId="3FCAF436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Chute</w:t>
            </w:r>
          </w:p>
          <w:p w14:paraId="68078F76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Glissage</w:t>
            </w:r>
          </w:p>
          <w:p w14:paraId="05178587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Choc</w:t>
            </w:r>
          </w:p>
        </w:tc>
        <w:tc>
          <w:tcPr>
            <w:tcW w:w="1275" w:type="dxa"/>
          </w:tcPr>
          <w:p w14:paraId="726A2F7B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6EAC7EA9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6A8418B2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Porter des chaussures de cuisine en bon état, avec des semelles antidérapantes.</w:t>
            </w:r>
          </w:p>
          <w:p w14:paraId="68B455E1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Veiller à l’ordre et laisser les passages dégagés.</w:t>
            </w:r>
          </w:p>
          <w:p w14:paraId="694F842F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Nettoyer immédiatement les déversements au sol.</w:t>
            </w:r>
          </w:p>
          <w:p w14:paraId="2A8EEB0C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47DBFB62" w14:textId="1C5805B6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Entretenir le sol et remplacer ou réparer le revêtement.</w:t>
            </w:r>
          </w:p>
          <w:p w14:paraId="5D47B824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un revêtement de sol antidérapant.</w:t>
            </w:r>
          </w:p>
          <w:p w14:paraId="2370193E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Installer une signalisation pour les escaliers et les dénivelés.</w:t>
            </w:r>
          </w:p>
          <w:p w14:paraId="1E852309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u w:val="single"/>
                <w:lang w:val="fr-BE"/>
              </w:rPr>
            </w:pPr>
            <w:r w:rsidRPr="00291103">
              <w:rPr>
                <w:lang w:val="fr-BE"/>
              </w:rPr>
              <w:t xml:space="preserve">Entretenir </w:t>
            </w:r>
            <w:r>
              <w:rPr>
                <w:lang w:val="fr-BE"/>
              </w:rPr>
              <w:t xml:space="preserve">les </w:t>
            </w:r>
            <w:r w:rsidRPr="00291103">
              <w:rPr>
                <w:lang w:val="fr-BE"/>
              </w:rPr>
              <w:t>hottes afin d’éviter la condensation au sol.</w:t>
            </w:r>
          </w:p>
          <w:p w14:paraId="749DDCFE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6733FC79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069A611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522D152B" w14:textId="77777777" w:rsidTr="008F013B">
        <w:tc>
          <w:tcPr>
            <w:tcW w:w="2972" w:type="dxa"/>
          </w:tcPr>
          <w:p w14:paraId="3644E3E0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Chute d’objets</w:t>
            </w:r>
          </w:p>
        </w:tc>
        <w:tc>
          <w:tcPr>
            <w:tcW w:w="1985" w:type="dxa"/>
          </w:tcPr>
          <w:p w14:paraId="0BE6D482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Plaie</w:t>
            </w:r>
          </w:p>
          <w:p w14:paraId="31732EF5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Contusion</w:t>
            </w:r>
          </w:p>
          <w:p w14:paraId="2ADD3B88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Fracture</w:t>
            </w:r>
          </w:p>
        </w:tc>
        <w:tc>
          <w:tcPr>
            <w:tcW w:w="1275" w:type="dxa"/>
          </w:tcPr>
          <w:p w14:paraId="044191AC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627E2EFA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1DDD0F34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Respecter la charge maximale supportée par les étagères de rangement.</w:t>
            </w:r>
          </w:p>
          <w:p w14:paraId="449D0453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Limiter la hauteur de stockage et vérifier la stabilité des objets et </w:t>
            </w:r>
            <w:r>
              <w:rPr>
                <w:lang w:val="fr-BE"/>
              </w:rPr>
              <w:t xml:space="preserve">des </w:t>
            </w:r>
            <w:r w:rsidRPr="00291103">
              <w:rPr>
                <w:lang w:val="fr-BE"/>
              </w:rPr>
              <w:t>marchandises.</w:t>
            </w:r>
          </w:p>
          <w:p w14:paraId="56BBB41A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Ne pas stocker les charges lourdes en hauteur.</w:t>
            </w:r>
          </w:p>
          <w:p w14:paraId="79F91C03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Ne pas surcharger les chariots de transport, les diables, etc.</w:t>
            </w:r>
          </w:p>
          <w:p w14:paraId="64B4A5BC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Respecter les consignes de stockage et de rangement communiquées. </w:t>
            </w:r>
          </w:p>
          <w:p w14:paraId="014706E0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1CDF703B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des étagères et des systèmes de rangement solides et stables.</w:t>
            </w:r>
          </w:p>
          <w:p w14:paraId="42E14B65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suffisamment d’espace de passage entre les armoires et les étagères de rangement pour éviter les heurts (notamment avec les chariots de transport).</w:t>
            </w:r>
          </w:p>
          <w:p w14:paraId="58163D5D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Fournir des consignes pour un stockage sûr (hauteur de stockage, emplacements adaptés, accessibilité des marchandises et des ustensiles en fonction de la fréquence d’utilisation).</w:t>
            </w:r>
          </w:p>
          <w:p w14:paraId="683D0EDF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0970650B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7E11D48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2F6EC02E" w14:textId="77777777" w:rsidTr="008F013B">
        <w:tc>
          <w:tcPr>
            <w:tcW w:w="2972" w:type="dxa"/>
          </w:tcPr>
          <w:p w14:paraId="2691ED70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Manipulation des denrées alimentaires</w:t>
            </w:r>
          </w:p>
        </w:tc>
        <w:tc>
          <w:tcPr>
            <w:tcW w:w="1985" w:type="dxa"/>
          </w:tcPr>
          <w:p w14:paraId="474E9ADC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Maladie</w:t>
            </w:r>
          </w:p>
          <w:p w14:paraId="2D97B41A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Coupure</w:t>
            </w:r>
          </w:p>
          <w:p w14:paraId="2FE51C8B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Irritation</w:t>
            </w:r>
          </w:p>
          <w:p w14:paraId="0384C4D6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Allergie</w:t>
            </w:r>
          </w:p>
        </w:tc>
        <w:tc>
          <w:tcPr>
            <w:tcW w:w="1275" w:type="dxa"/>
          </w:tcPr>
          <w:p w14:paraId="177FEC09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218EC1C7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7CACC515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Porter des gants de protection adaptés.</w:t>
            </w:r>
          </w:p>
          <w:p w14:paraId="0B11B603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Porter des manches longues. </w:t>
            </w:r>
          </w:p>
          <w:p w14:paraId="41803C79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Respecter les mesures d’hygiène imposées.</w:t>
            </w:r>
          </w:p>
          <w:p w14:paraId="6F9CCE50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6DA3C387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Communiquer les mesures d’hygiène appropriées.</w:t>
            </w:r>
          </w:p>
          <w:p w14:paraId="3E91049C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la vaccination (tétanos, hépatite B).</w:t>
            </w:r>
          </w:p>
          <w:p w14:paraId="5C6AA42B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0228FB1D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93633D1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08BEF15B" w14:textId="77777777" w:rsidTr="008F013B">
        <w:tc>
          <w:tcPr>
            <w:tcW w:w="2972" w:type="dxa"/>
          </w:tcPr>
          <w:p w14:paraId="46CF7ACE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Débris de verre et de vaisselle</w:t>
            </w:r>
          </w:p>
        </w:tc>
        <w:tc>
          <w:tcPr>
            <w:tcW w:w="1985" w:type="dxa"/>
          </w:tcPr>
          <w:p w14:paraId="20A6FF5D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Coupure</w:t>
            </w:r>
          </w:p>
        </w:tc>
        <w:tc>
          <w:tcPr>
            <w:tcW w:w="1275" w:type="dxa"/>
          </w:tcPr>
          <w:p w14:paraId="419F540C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18683238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705B4A5C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Utiliser des gants résistant aux coupures.</w:t>
            </w:r>
          </w:p>
          <w:p w14:paraId="79409837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Ne pas ramasser les débris à la main, utiliser une brosse et une ramassette.</w:t>
            </w:r>
          </w:p>
          <w:p w14:paraId="3E1C6C4B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63734BE4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des sacs poubelles solides ou des poubelles rigides.</w:t>
            </w:r>
          </w:p>
          <w:p w14:paraId="59335114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Former aux méthodes adéquates de lavage pour limiter la casse. </w:t>
            </w:r>
          </w:p>
          <w:p w14:paraId="20BA51A5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26DAF791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9583A3C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6EAA8BF6" w14:textId="77777777" w:rsidTr="008F013B">
        <w:tc>
          <w:tcPr>
            <w:tcW w:w="2972" w:type="dxa"/>
          </w:tcPr>
          <w:p w14:paraId="203DF692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Séchage des verres</w:t>
            </w:r>
          </w:p>
        </w:tc>
        <w:tc>
          <w:tcPr>
            <w:tcW w:w="1985" w:type="dxa"/>
          </w:tcPr>
          <w:p w14:paraId="0428EF99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Troubles musculosquelettiques</w:t>
            </w:r>
          </w:p>
          <w:p w14:paraId="317C68AB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Fatigue</w:t>
            </w:r>
          </w:p>
        </w:tc>
        <w:tc>
          <w:tcPr>
            <w:tcW w:w="1275" w:type="dxa"/>
          </w:tcPr>
          <w:p w14:paraId="0CC848C8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7A9CE044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6F549912" w14:textId="77777777" w:rsidR="008F013B" w:rsidRPr="00291103" w:rsidRDefault="008F013B" w:rsidP="008F013B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291103">
              <w:rPr>
                <w:lang w:val="fr-BE"/>
              </w:rPr>
              <w:t>Alterner les tâches pour éviter les mouvements répétitifs prolongés.</w:t>
            </w:r>
          </w:p>
          <w:p w14:paraId="1B8137DC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4748B130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l’alternance des tâches dans l’organisation du travail.</w:t>
            </w:r>
          </w:p>
          <w:p w14:paraId="4AC2561A" w14:textId="77777777" w:rsidR="008F013B" w:rsidRPr="00291103" w:rsidRDefault="008F013B" w:rsidP="008F01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91103">
              <w:rPr>
                <w:lang w:val="fr-BE"/>
              </w:rPr>
              <w:t>Supprimer ou limiter l’essuyage manuel en améliorant la qualité des détergents et la qualité de l’eau.</w:t>
            </w:r>
          </w:p>
          <w:p w14:paraId="1C6E1138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459748CA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7D0571B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185EBED8" w14:textId="77777777" w:rsidTr="008F013B">
        <w:tc>
          <w:tcPr>
            <w:tcW w:w="2972" w:type="dxa"/>
          </w:tcPr>
          <w:p w14:paraId="1FC83E73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Ustensiles tranchants</w:t>
            </w:r>
          </w:p>
        </w:tc>
        <w:tc>
          <w:tcPr>
            <w:tcW w:w="1985" w:type="dxa"/>
          </w:tcPr>
          <w:p w14:paraId="601092C6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Coupure</w:t>
            </w:r>
          </w:p>
        </w:tc>
        <w:tc>
          <w:tcPr>
            <w:tcW w:w="1275" w:type="dxa"/>
          </w:tcPr>
          <w:p w14:paraId="76DB9D54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622F92D4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5620BDD5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Porter de gants de protection résistant</w:t>
            </w:r>
            <w:r>
              <w:rPr>
                <w:lang w:val="fr-BE"/>
              </w:rPr>
              <w:t>s</w:t>
            </w:r>
            <w:r w:rsidRPr="00291103">
              <w:rPr>
                <w:lang w:val="fr-BE"/>
              </w:rPr>
              <w:t xml:space="preserve"> à la perforation et aux coupures.</w:t>
            </w:r>
          </w:p>
          <w:p w14:paraId="411F8705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Laver séparément les objets tranchants.</w:t>
            </w:r>
          </w:p>
          <w:p w14:paraId="718BA135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14B458A8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rFonts w:ascii="Agency FB" w:hAnsi="Agency FB"/>
                <w:sz w:val="24"/>
                <w:szCs w:val="24"/>
                <w:lang w:val="fr-BE"/>
              </w:rPr>
            </w:pPr>
            <w:r w:rsidRPr="00291103">
              <w:rPr>
                <w:lang w:val="fr-BE"/>
              </w:rPr>
              <w:t xml:space="preserve">Prévoir des bacs séparés pour le rangement des ustensiles tranchants. </w:t>
            </w:r>
          </w:p>
          <w:p w14:paraId="65B9D5CF" w14:textId="77777777" w:rsidR="008F013B" w:rsidRPr="00291103" w:rsidRDefault="008F013B" w:rsidP="00E542A8">
            <w:pPr>
              <w:pStyle w:val="Paragraphedeliste"/>
              <w:ind w:left="360"/>
              <w:rPr>
                <w:rFonts w:ascii="Agency FB" w:hAnsi="Agency FB"/>
                <w:sz w:val="24"/>
                <w:szCs w:val="24"/>
                <w:lang w:val="fr-BE"/>
              </w:rPr>
            </w:pPr>
          </w:p>
        </w:tc>
        <w:tc>
          <w:tcPr>
            <w:tcW w:w="1701" w:type="dxa"/>
          </w:tcPr>
          <w:p w14:paraId="254C498E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AAEA0E1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314E8833" w14:textId="77777777" w:rsidTr="008F013B">
        <w:tc>
          <w:tcPr>
            <w:tcW w:w="2972" w:type="dxa"/>
          </w:tcPr>
          <w:p w14:paraId="05CC158D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Produits détergents</w:t>
            </w:r>
          </w:p>
        </w:tc>
        <w:tc>
          <w:tcPr>
            <w:tcW w:w="1985" w:type="dxa"/>
          </w:tcPr>
          <w:p w14:paraId="016374BA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Brûlure</w:t>
            </w:r>
          </w:p>
          <w:p w14:paraId="5F81C761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Irritation</w:t>
            </w:r>
          </w:p>
          <w:p w14:paraId="10CABCD8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Intoxication</w:t>
            </w:r>
          </w:p>
        </w:tc>
        <w:tc>
          <w:tcPr>
            <w:tcW w:w="1275" w:type="dxa"/>
          </w:tcPr>
          <w:p w14:paraId="4CBB58ED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4A4F4740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5E6D4335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Porter des gants résistant aux produits chimiques.</w:t>
            </w:r>
          </w:p>
          <w:p w14:paraId="20B823BE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Porter des lunettes de protection. </w:t>
            </w:r>
          </w:p>
          <w:p w14:paraId="5340018B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Respecter les indications d’utilisation et les précautions stipulées par le fabricant.</w:t>
            </w:r>
          </w:p>
          <w:p w14:paraId="59882350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Ne pas mélanger les produits.</w:t>
            </w:r>
          </w:p>
          <w:p w14:paraId="56BF8A87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0D324E6A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Former à l’utilisation correcte des produits chimiques.</w:t>
            </w:r>
          </w:p>
          <w:p w14:paraId="5DF6E52A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Prévoir un bon étiquetage des produits.</w:t>
            </w:r>
          </w:p>
          <w:p w14:paraId="63C25FFC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Fournir la fiche des données de sécurité des produits.</w:t>
            </w:r>
          </w:p>
          <w:p w14:paraId="32E93DAF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Interdire le transvasement dans des contenants non étiquetés.</w:t>
            </w:r>
          </w:p>
          <w:p w14:paraId="38F03512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Stocker les produits dans un endroit aéré, indépendant du local de conservation des denrées alimentaires.</w:t>
            </w:r>
          </w:p>
          <w:p w14:paraId="7230CCDA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Communiquer les mesures à prendre en cas de contact accidentel avec la peau et les yeux. </w:t>
            </w:r>
          </w:p>
          <w:p w14:paraId="552FB4D0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223885E0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D74B4F2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08056C60" w14:textId="77777777" w:rsidTr="008F013B">
        <w:tc>
          <w:tcPr>
            <w:tcW w:w="2972" w:type="dxa"/>
          </w:tcPr>
          <w:p w14:paraId="2CCBCFBD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Machine lave-vaisselle</w:t>
            </w:r>
          </w:p>
        </w:tc>
        <w:tc>
          <w:tcPr>
            <w:tcW w:w="1985" w:type="dxa"/>
          </w:tcPr>
          <w:p w14:paraId="21ED5CE1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Brûlure</w:t>
            </w:r>
          </w:p>
          <w:p w14:paraId="2A10E7B3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Inconfort sonore</w:t>
            </w:r>
          </w:p>
        </w:tc>
        <w:tc>
          <w:tcPr>
            <w:tcW w:w="1275" w:type="dxa"/>
          </w:tcPr>
          <w:p w14:paraId="65958E33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357D2201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1C8E5449" w14:textId="77777777" w:rsidR="008F013B" w:rsidRPr="00291103" w:rsidRDefault="008F013B" w:rsidP="008F013B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291103">
              <w:rPr>
                <w:lang w:val="fr-BE"/>
              </w:rPr>
              <w:t>Porter des vêtements adaptés et des gants thermiques.</w:t>
            </w:r>
          </w:p>
          <w:p w14:paraId="1B4438C8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Ne pas ouvrir le lave-vaisselle avant la fin du cycle de lavage.</w:t>
            </w:r>
          </w:p>
          <w:p w14:paraId="23431657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Attendre le refroidissement avant la manipulation de la vaisselle.</w:t>
            </w:r>
          </w:p>
          <w:p w14:paraId="5FBCDE98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Respecter les instructions d’utilisation du fabricant.</w:t>
            </w:r>
          </w:p>
          <w:p w14:paraId="6BB468FF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032D018A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Former à l’utilisation du lave-vaisselle.</w:t>
            </w:r>
          </w:p>
          <w:p w14:paraId="70A0CB32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Installer la machine dans un endroit à l’écart des postes de travail, un lieu insonorisé.</w:t>
            </w:r>
          </w:p>
          <w:p w14:paraId="63A0229E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115CF612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658CEE1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  <w:tr w:rsidR="008F013B" w:rsidRPr="00291103" w14:paraId="4B2972B1" w14:textId="77777777" w:rsidTr="008F013B">
        <w:tc>
          <w:tcPr>
            <w:tcW w:w="2972" w:type="dxa"/>
          </w:tcPr>
          <w:p w14:paraId="531B6229" w14:textId="77777777" w:rsidR="008F013B" w:rsidRPr="00291103" w:rsidRDefault="008F013B" w:rsidP="00E542A8">
            <w:pPr>
              <w:rPr>
                <w:lang w:val="fr-BE"/>
              </w:rPr>
            </w:pPr>
            <w:r w:rsidRPr="00291103">
              <w:rPr>
                <w:lang w:val="fr-BE"/>
              </w:rPr>
              <w:t>Organisation et lieux de travail (désordre, passages encombrés)</w:t>
            </w:r>
          </w:p>
        </w:tc>
        <w:tc>
          <w:tcPr>
            <w:tcW w:w="1985" w:type="dxa"/>
          </w:tcPr>
          <w:p w14:paraId="5C919D14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Chute</w:t>
            </w:r>
          </w:p>
          <w:p w14:paraId="5943EE77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Coupure</w:t>
            </w:r>
          </w:p>
          <w:p w14:paraId="1E204225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Brûlure</w:t>
            </w:r>
          </w:p>
        </w:tc>
        <w:tc>
          <w:tcPr>
            <w:tcW w:w="1275" w:type="dxa"/>
          </w:tcPr>
          <w:p w14:paraId="56964308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5103" w:type="dxa"/>
          </w:tcPr>
          <w:p w14:paraId="5D966F95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>Mesures individuelles</w:t>
            </w:r>
          </w:p>
          <w:p w14:paraId="6F43939F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Éviter le stockage, même temporaire, dans des endroits inadaptés. </w:t>
            </w:r>
          </w:p>
          <w:p w14:paraId="0E833B91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>Garder les passages dégagés en permanence.</w:t>
            </w:r>
          </w:p>
          <w:p w14:paraId="5B90E671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Respecter les consignes de rangement et de stockage. </w:t>
            </w:r>
          </w:p>
          <w:p w14:paraId="60E562CD" w14:textId="77777777" w:rsidR="008F013B" w:rsidRPr="00291103" w:rsidRDefault="008F013B" w:rsidP="00E542A8">
            <w:pPr>
              <w:rPr>
                <w:u w:val="single"/>
                <w:lang w:val="fr-BE"/>
              </w:rPr>
            </w:pPr>
            <w:r w:rsidRPr="00291103">
              <w:rPr>
                <w:u w:val="single"/>
                <w:lang w:val="fr-BE"/>
              </w:rPr>
              <w:t xml:space="preserve">Mesures organisationnelles </w:t>
            </w:r>
          </w:p>
          <w:p w14:paraId="5B0C45F0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Prévoir suffisamment de place à chaque poste de travail. </w:t>
            </w:r>
          </w:p>
          <w:p w14:paraId="00E3DE82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Organiser les espaces de travail de façon à limiter les croisements et les déplacements. </w:t>
            </w:r>
          </w:p>
          <w:p w14:paraId="40DBDE4B" w14:textId="12ED690D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Prévoir suffisamment </w:t>
            </w:r>
            <w:r w:rsidR="00DB7BCF">
              <w:rPr>
                <w:lang w:val="fr-BE"/>
              </w:rPr>
              <w:t>de matériel</w:t>
            </w:r>
            <w:r w:rsidRPr="00291103">
              <w:rPr>
                <w:lang w:val="fr-BE"/>
              </w:rPr>
              <w:t xml:space="preserve"> de stockage et de rangement.</w:t>
            </w:r>
          </w:p>
          <w:p w14:paraId="4DEBBE82" w14:textId="77777777" w:rsidR="008F013B" w:rsidRPr="00291103" w:rsidRDefault="008F013B" w:rsidP="008F013B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91103">
              <w:rPr>
                <w:lang w:val="fr-BE"/>
              </w:rPr>
              <w:t xml:space="preserve">Établir des règles claires pour le stockage et le rangement. </w:t>
            </w:r>
          </w:p>
          <w:p w14:paraId="67F86FAB" w14:textId="77777777" w:rsidR="008F013B" w:rsidRPr="00291103" w:rsidRDefault="008F013B" w:rsidP="00E542A8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701" w:type="dxa"/>
          </w:tcPr>
          <w:p w14:paraId="40E0E949" w14:textId="77777777" w:rsidR="008F013B" w:rsidRPr="00291103" w:rsidRDefault="008F013B" w:rsidP="00E542A8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0F625A28" w14:textId="77777777" w:rsidR="008F013B" w:rsidRPr="00291103" w:rsidRDefault="008F013B" w:rsidP="00E542A8">
            <w:pPr>
              <w:rPr>
                <w:lang w:val="fr-BE"/>
              </w:rPr>
            </w:pPr>
          </w:p>
        </w:tc>
      </w:tr>
    </w:tbl>
    <w:p w14:paraId="1021D90E" w14:textId="77777777" w:rsidR="008F013B" w:rsidRPr="00291103" w:rsidRDefault="008F013B" w:rsidP="008F013B">
      <w:pPr>
        <w:spacing w:after="0"/>
        <w:rPr>
          <w:sz w:val="12"/>
          <w:lang w:val="fr-BE"/>
        </w:rPr>
      </w:pPr>
    </w:p>
    <w:p w14:paraId="1E7718B2" w14:textId="77777777" w:rsidR="009141CE" w:rsidRPr="00DE06D8" w:rsidRDefault="009141CE" w:rsidP="009141CE">
      <w:pPr>
        <w:spacing w:after="0"/>
        <w:ind w:right="-926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29165889" w14:textId="77777777" w:rsidR="00C270CB" w:rsidRPr="008F013B" w:rsidRDefault="00C270CB">
      <w:pPr>
        <w:rPr>
          <w:lang w:val="fr-BE"/>
        </w:rPr>
      </w:pPr>
    </w:p>
    <w:sectPr w:rsidR="00C270CB" w:rsidRPr="008F013B" w:rsidSect="008F013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4B82" w14:textId="77777777" w:rsidR="004B0993" w:rsidRDefault="004B0993" w:rsidP="008F013B">
      <w:pPr>
        <w:spacing w:after="0" w:line="240" w:lineRule="auto"/>
      </w:pPr>
      <w:r>
        <w:separator/>
      </w:r>
    </w:p>
  </w:endnote>
  <w:endnote w:type="continuationSeparator" w:id="0">
    <w:p w14:paraId="40710E44" w14:textId="77777777" w:rsidR="004B0993" w:rsidRDefault="004B0993" w:rsidP="008F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041A" w14:textId="77777777" w:rsidR="004B0993" w:rsidRDefault="004B0993" w:rsidP="008F013B">
      <w:pPr>
        <w:spacing w:after="0" w:line="240" w:lineRule="auto"/>
      </w:pPr>
      <w:r>
        <w:separator/>
      </w:r>
    </w:p>
  </w:footnote>
  <w:footnote w:type="continuationSeparator" w:id="0">
    <w:p w14:paraId="2417175D" w14:textId="77777777" w:rsidR="004B0993" w:rsidRDefault="004B0993" w:rsidP="008F013B">
      <w:pPr>
        <w:spacing w:after="0" w:line="240" w:lineRule="auto"/>
      </w:pPr>
      <w:r>
        <w:continuationSeparator/>
      </w:r>
    </w:p>
  </w:footnote>
  <w:footnote w:id="1">
    <w:p w14:paraId="699EA4DE" w14:textId="4EF9E8E7" w:rsidR="00127329" w:rsidRPr="00127329" w:rsidRDefault="0012732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TMS ou les troubles musculosquelettiques sont des affections qui résultent de la surcharge musculaire et articulaire.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09DE" w14:textId="5DD6570A" w:rsidR="008F013B" w:rsidRDefault="008F013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5FD51" wp14:editId="162DDD7E">
          <wp:simplePos x="0" y="0"/>
          <wp:positionH relativeFrom="column">
            <wp:posOffset>0</wp:posOffset>
          </wp:positionH>
          <wp:positionV relativeFrom="paragraph">
            <wp:posOffset>-347980</wp:posOffset>
          </wp:positionV>
          <wp:extent cx="743585" cy="719455"/>
          <wp:effectExtent l="0" t="0" r="0" b="4445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DB4"/>
    <w:multiLevelType w:val="hybridMultilevel"/>
    <w:tmpl w:val="3C40B9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C109D"/>
    <w:multiLevelType w:val="hybridMultilevel"/>
    <w:tmpl w:val="653E63D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87557"/>
    <w:multiLevelType w:val="hybridMultilevel"/>
    <w:tmpl w:val="C204AF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C3FD2"/>
    <w:multiLevelType w:val="hybridMultilevel"/>
    <w:tmpl w:val="176248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5E3B"/>
    <w:multiLevelType w:val="hybridMultilevel"/>
    <w:tmpl w:val="C8A28F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13303"/>
    <w:multiLevelType w:val="hybridMultilevel"/>
    <w:tmpl w:val="D068C19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B772DA7"/>
    <w:multiLevelType w:val="hybridMultilevel"/>
    <w:tmpl w:val="5448D5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83282"/>
    <w:multiLevelType w:val="hybridMultilevel"/>
    <w:tmpl w:val="A06864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C2CA2"/>
    <w:multiLevelType w:val="hybridMultilevel"/>
    <w:tmpl w:val="EEA8503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57FA1"/>
    <w:multiLevelType w:val="hybridMultilevel"/>
    <w:tmpl w:val="AA3401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26BFF"/>
    <w:multiLevelType w:val="multilevel"/>
    <w:tmpl w:val="D422BFE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Theme="minorHAnsi" w:hAnsiTheme="minorHAnsi" w:hint="default"/>
        <w:b/>
        <w:color w:val="auto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i w:val="0"/>
        <w:u w:val="none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3B"/>
    <w:rsid w:val="00041888"/>
    <w:rsid w:val="00127329"/>
    <w:rsid w:val="00177A91"/>
    <w:rsid w:val="00241FDE"/>
    <w:rsid w:val="003A5BE2"/>
    <w:rsid w:val="004B0993"/>
    <w:rsid w:val="00746CC3"/>
    <w:rsid w:val="008F013B"/>
    <w:rsid w:val="009141CE"/>
    <w:rsid w:val="00C270CB"/>
    <w:rsid w:val="00DB7BCF"/>
    <w:rsid w:val="00E100FA"/>
    <w:rsid w:val="00E61E25"/>
    <w:rsid w:val="00E86F51"/>
    <w:rsid w:val="00E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718F"/>
  <w15:chartTrackingRefBased/>
  <w15:docId w15:val="{33CA68B7-C064-483F-B34E-D325A7F6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3B"/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8F013B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013B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013B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013B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F013B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013B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013B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013B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013B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01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8F01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8F01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8F013B"/>
    <w:rPr>
      <w:rFonts w:asciiTheme="majorHAnsi" w:eastAsiaTheme="majorEastAsia" w:hAnsiTheme="majorHAnsi" w:cstheme="majorBidi"/>
      <w:i/>
      <w:iCs/>
      <w:color w:val="2F5496" w:themeColor="accent1" w:themeShade="BF"/>
      <w:lang w:val="nl-BE"/>
    </w:rPr>
  </w:style>
  <w:style w:type="character" w:customStyle="1" w:styleId="Titre5Car">
    <w:name w:val="Titre 5 Car"/>
    <w:basedOn w:val="Policepardfaut"/>
    <w:link w:val="Titre5"/>
    <w:uiPriority w:val="9"/>
    <w:rsid w:val="008F013B"/>
    <w:rPr>
      <w:rFonts w:asciiTheme="majorHAnsi" w:eastAsiaTheme="majorEastAsia" w:hAnsiTheme="majorHAnsi" w:cstheme="majorBidi"/>
      <w:color w:val="2F5496" w:themeColor="accent1" w:themeShade="BF"/>
      <w:lang w:val="nl-BE"/>
    </w:rPr>
  </w:style>
  <w:style w:type="character" w:customStyle="1" w:styleId="Titre6Car">
    <w:name w:val="Titre 6 Car"/>
    <w:basedOn w:val="Policepardfaut"/>
    <w:link w:val="Titre6"/>
    <w:uiPriority w:val="9"/>
    <w:semiHidden/>
    <w:rsid w:val="008F013B"/>
    <w:rPr>
      <w:rFonts w:asciiTheme="majorHAnsi" w:eastAsiaTheme="majorEastAsia" w:hAnsiTheme="majorHAnsi" w:cstheme="majorBidi"/>
      <w:color w:val="1F3763" w:themeColor="accent1" w:themeShade="7F"/>
      <w:lang w:val="nl-BE"/>
    </w:rPr>
  </w:style>
  <w:style w:type="character" w:customStyle="1" w:styleId="Titre7Car">
    <w:name w:val="Titre 7 Car"/>
    <w:basedOn w:val="Policepardfaut"/>
    <w:link w:val="Titre7"/>
    <w:uiPriority w:val="9"/>
    <w:semiHidden/>
    <w:rsid w:val="008F013B"/>
    <w:rPr>
      <w:rFonts w:asciiTheme="majorHAnsi" w:eastAsiaTheme="majorEastAsia" w:hAnsiTheme="majorHAnsi" w:cstheme="majorBidi"/>
      <w:i/>
      <w:iCs/>
      <w:color w:val="1F3763" w:themeColor="accent1" w:themeShade="7F"/>
      <w:lang w:val="nl-BE"/>
    </w:rPr>
  </w:style>
  <w:style w:type="character" w:customStyle="1" w:styleId="Titre8Car">
    <w:name w:val="Titre 8 Car"/>
    <w:basedOn w:val="Policepardfaut"/>
    <w:link w:val="Titre8"/>
    <w:uiPriority w:val="9"/>
    <w:semiHidden/>
    <w:rsid w:val="008F01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Titre9Car">
    <w:name w:val="Titre 9 Car"/>
    <w:basedOn w:val="Policepardfaut"/>
    <w:link w:val="Titre9"/>
    <w:uiPriority w:val="9"/>
    <w:semiHidden/>
    <w:rsid w:val="008F01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paragraph" w:styleId="Paragraphedeliste">
    <w:name w:val="List Paragraph"/>
    <w:basedOn w:val="Normal"/>
    <w:uiPriority w:val="34"/>
    <w:qFormat/>
    <w:rsid w:val="008F01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013B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13B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F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13B"/>
    <w:rPr>
      <w:lang w:val="nl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73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7329"/>
    <w:rPr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127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6FCC6-1096-466C-B151-519720F8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65932-3FC3-4245-9CD5-43728EAF2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D65E57-B90F-40C5-AC6D-597786B64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9CE886-DB83-4F7A-89A5-398190654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1936</Words>
  <Characters>10653</Characters>
  <Application>Microsoft Office Word</Application>
  <DocSecurity>0</DocSecurity>
  <Lines>88</Lines>
  <Paragraphs>25</Paragraphs>
  <ScaleCrop>false</ScaleCrop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12</cp:revision>
  <dcterms:created xsi:type="dcterms:W3CDTF">2020-06-17T07:20:00Z</dcterms:created>
  <dcterms:modified xsi:type="dcterms:W3CDTF">2020-06-19T11:10:00Z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