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FE21" w14:textId="4F1507C2" w:rsidR="00401B04" w:rsidRPr="00D81B71" w:rsidRDefault="00401B04" w:rsidP="00401B04">
      <w:pPr>
        <w:pStyle w:val="Titre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0" w:name="_Toc23948709"/>
      <w:r w:rsidRPr="00D81B71">
        <w:rPr>
          <w:rFonts w:asciiTheme="minorHAnsi" w:hAnsiTheme="minorHAnsi" w:cstheme="minorHAnsi"/>
          <w:sz w:val="28"/>
          <w:szCs w:val="28"/>
        </w:rPr>
        <w:t>Pontier : risques et mesures de prévention</w:t>
      </w:r>
      <w:bookmarkEnd w:id="0"/>
    </w:p>
    <w:p w14:paraId="15F1467C" w14:textId="77777777" w:rsidR="00401B04" w:rsidRPr="00A7421F" w:rsidRDefault="00401B04" w:rsidP="00401B04">
      <w:pPr>
        <w:spacing w:after="0"/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4819"/>
        <w:gridCol w:w="1418"/>
        <w:gridCol w:w="1843"/>
      </w:tblGrid>
      <w:tr w:rsidR="00401B04" w:rsidRPr="00A7421F" w14:paraId="2EB26A86" w14:textId="77777777" w:rsidTr="00D81B71">
        <w:tc>
          <w:tcPr>
            <w:tcW w:w="2547" w:type="dxa"/>
            <w:shd w:val="clear" w:color="auto" w:fill="DEEAF6" w:themeFill="accent5" w:themeFillTint="33"/>
          </w:tcPr>
          <w:p w14:paraId="3FA2C1F2" w14:textId="7CF51266" w:rsidR="00401B04" w:rsidRPr="00A7421F" w:rsidRDefault="00401B04" w:rsidP="00E542A8">
            <w:pPr>
              <w:rPr>
                <w:b/>
              </w:rPr>
            </w:pPr>
            <w:r w:rsidRPr="00A7421F">
              <w:rPr>
                <w:b/>
              </w:rPr>
              <w:t>DANGER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1F728C5" w14:textId="60CFDB6C" w:rsidR="00401B04" w:rsidRPr="00A7421F" w:rsidRDefault="00401B04" w:rsidP="00E542A8">
            <w:pPr>
              <w:rPr>
                <w:b/>
              </w:rPr>
            </w:pPr>
            <w:r w:rsidRPr="00A7421F">
              <w:rPr>
                <w:b/>
              </w:rPr>
              <w:t xml:space="preserve">RISQUE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E3EED2" w14:textId="77777777" w:rsidR="00401B04" w:rsidRPr="00A7421F" w:rsidRDefault="00401B04" w:rsidP="00E542A8">
            <w:pPr>
              <w:rPr>
                <w:b/>
              </w:rPr>
            </w:pPr>
            <w:r w:rsidRPr="00A7421F">
              <w:rPr>
                <w:b/>
              </w:rPr>
              <w:t>ÉVALUATION DU RISQUE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004DE5A7" w14:textId="02BAE7F8" w:rsidR="00401B04" w:rsidRPr="00A7421F" w:rsidRDefault="00401B04" w:rsidP="00E542A8">
            <w:pPr>
              <w:rPr>
                <w:b/>
              </w:rPr>
            </w:pPr>
            <w:r w:rsidRPr="006708F5">
              <w:rPr>
                <w:b/>
              </w:rPr>
              <w:t>MESU</w:t>
            </w:r>
            <w:r w:rsidR="006708F5">
              <w:rPr>
                <w:b/>
              </w:rPr>
              <w:t>R</w:t>
            </w:r>
            <w:r w:rsidRPr="006708F5">
              <w:rPr>
                <w:b/>
              </w:rPr>
              <w:t>E</w:t>
            </w:r>
            <w:r w:rsidR="006708F5">
              <w:rPr>
                <w:b/>
              </w:rPr>
              <w:t>S DE</w:t>
            </w:r>
            <w:r w:rsidRPr="006708F5">
              <w:rPr>
                <w:b/>
              </w:rPr>
              <w:t xml:space="preserve"> PRÉVENTION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76FF8B5" w14:textId="77777777" w:rsidR="00401B04" w:rsidRPr="00A7421F" w:rsidRDefault="00401B04" w:rsidP="00E542A8">
            <w:pPr>
              <w:rPr>
                <w:b/>
              </w:rPr>
            </w:pPr>
            <w:r w:rsidRPr="00A7421F">
              <w:rPr>
                <w:b/>
              </w:rPr>
              <w:t xml:space="preserve">ÉVALUATION DU RISQUE RÉSIDUEL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DA504B5" w14:textId="77777777" w:rsidR="00401B04" w:rsidRPr="00A7421F" w:rsidRDefault="00401B04" w:rsidP="00E542A8">
            <w:pPr>
              <w:rPr>
                <w:b/>
              </w:rPr>
            </w:pPr>
            <w:r w:rsidRPr="00A7421F">
              <w:rPr>
                <w:b/>
              </w:rPr>
              <w:t>REMARQUES</w:t>
            </w:r>
          </w:p>
        </w:tc>
      </w:tr>
      <w:tr w:rsidR="00401B04" w:rsidRPr="00A7421F" w14:paraId="3AC40C42" w14:textId="77777777" w:rsidTr="00401B04">
        <w:tc>
          <w:tcPr>
            <w:tcW w:w="2547" w:type="dxa"/>
          </w:tcPr>
          <w:p w14:paraId="0DAD5732" w14:textId="77777777" w:rsidR="00401B04" w:rsidRPr="00A7421F" w:rsidRDefault="00401B04" w:rsidP="00D81B71">
            <w:r w:rsidRPr="00A7421F">
              <w:t>Manque d’entretien et/ou de contrôle du pont roulant</w:t>
            </w:r>
          </w:p>
        </w:tc>
        <w:tc>
          <w:tcPr>
            <w:tcW w:w="2410" w:type="dxa"/>
          </w:tcPr>
          <w:p w14:paraId="4DF6DBB3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Perte de contrôle</w:t>
            </w:r>
          </w:p>
          <w:p w14:paraId="12574742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 xml:space="preserve">Blessures physiques </w:t>
            </w:r>
          </w:p>
        </w:tc>
        <w:tc>
          <w:tcPr>
            <w:tcW w:w="1559" w:type="dxa"/>
          </w:tcPr>
          <w:p w14:paraId="395571AA" w14:textId="77777777" w:rsidR="00401B04" w:rsidRPr="00A7421F" w:rsidRDefault="00401B04" w:rsidP="00D81B71"/>
        </w:tc>
        <w:tc>
          <w:tcPr>
            <w:tcW w:w="4819" w:type="dxa"/>
          </w:tcPr>
          <w:p w14:paraId="1DF65390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 xml:space="preserve">Faire contrôler le matériel à des moments fixes par une personne compétente interne et/ou externe. </w:t>
            </w:r>
          </w:p>
          <w:p w14:paraId="0DF075C3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Contrôler visuellement le pont roulant avant utilisation.</w:t>
            </w:r>
          </w:p>
          <w:p w14:paraId="5CE26107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Contrôler le fonctionnement du bouton d’arrêt d’urgence.</w:t>
            </w:r>
          </w:p>
          <w:p w14:paraId="73B1234E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6DA45866" w14:textId="77777777" w:rsidR="00401B04" w:rsidRPr="00A7421F" w:rsidRDefault="00401B04" w:rsidP="00D81B71"/>
        </w:tc>
        <w:tc>
          <w:tcPr>
            <w:tcW w:w="1843" w:type="dxa"/>
          </w:tcPr>
          <w:p w14:paraId="54E04501" w14:textId="77777777" w:rsidR="00401B04" w:rsidRPr="00A7421F" w:rsidRDefault="00401B04" w:rsidP="00D81B71"/>
        </w:tc>
      </w:tr>
      <w:tr w:rsidR="00401B04" w:rsidRPr="00A7421F" w14:paraId="755B36CD" w14:textId="77777777" w:rsidTr="00401B04">
        <w:tc>
          <w:tcPr>
            <w:tcW w:w="2547" w:type="dxa"/>
          </w:tcPr>
          <w:p w14:paraId="0E17121A" w14:textId="77777777" w:rsidR="00401B04" w:rsidRPr="00A7421F" w:rsidRDefault="00401B04" w:rsidP="00D81B71">
            <w:r w:rsidRPr="00A7421F">
              <w:t xml:space="preserve">Manipulation de marchandises </w:t>
            </w:r>
          </w:p>
        </w:tc>
        <w:tc>
          <w:tcPr>
            <w:tcW w:w="2410" w:type="dxa"/>
          </w:tcPr>
          <w:p w14:paraId="261E25EC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TMS</w:t>
            </w:r>
            <w:r w:rsidRPr="00A7421F">
              <w:rPr>
                <w:rStyle w:val="Appelnotedebasdep"/>
              </w:rPr>
              <w:footnoteReference w:id="1"/>
            </w:r>
          </w:p>
          <w:p w14:paraId="6DA1843B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Douleurs lombaires </w:t>
            </w:r>
          </w:p>
          <w:p w14:paraId="685ABFCC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Écrasement d’un membre</w:t>
            </w:r>
          </w:p>
          <w:p w14:paraId="7C7CD264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Coupures </w:t>
            </w:r>
          </w:p>
          <w:p w14:paraId="5BA04C00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559" w:type="dxa"/>
          </w:tcPr>
          <w:p w14:paraId="2F9077A3" w14:textId="77777777" w:rsidR="00401B04" w:rsidRPr="00A7421F" w:rsidRDefault="00401B04" w:rsidP="00D81B71"/>
        </w:tc>
        <w:tc>
          <w:tcPr>
            <w:tcW w:w="4819" w:type="dxa"/>
          </w:tcPr>
          <w:p w14:paraId="544A87AC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Porter les équipements de protection individuelle adaptés : chaussures de sécurité avec pointes en acier et des gants de protection. </w:t>
            </w:r>
          </w:p>
          <w:p w14:paraId="4A43BB0F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Utiliser des moyens techniques de transport.</w:t>
            </w:r>
          </w:p>
        </w:tc>
        <w:tc>
          <w:tcPr>
            <w:tcW w:w="1418" w:type="dxa"/>
          </w:tcPr>
          <w:p w14:paraId="236C05AB" w14:textId="77777777" w:rsidR="00401B04" w:rsidRPr="00A7421F" w:rsidRDefault="00401B04" w:rsidP="00D81B71"/>
        </w:tc>
        <w:tc>
          <w:tcPr>
            <w:tcW w:w="1843" w:type="dxa"/>
          </w:tcPr>
          <w:p w14:paraId="02223516" w14:textId="77777777" w:rsidR="00401B04" w:rsidRPr="00A7421F" w:rsidRDefault="00401B04" w:rsidP="00D81B71"/>
        </w:tc>
      </w:tr>
      <w:tr w:rsidR="00401B04" w:rsidRPr="00A7421F" w14:paraId="5FCC88CB" w14:textId="77777777" w:rsidTr="00401B04">
        <w:tc>
          <w:tcPr>
            <w:tcW w:w="2547" w:type="dxa"/>
          </w:tcPr>
          <w:p w14:paraId="47523DF3" w14:textId="77777777" w:rsidR="00401B04" w:rsidRPr="00A7421F" w:rsidRDefault="00401B04" w:rsidP="00D81B71">
            <w:r w:rsidRPr="00A7421F">
              <w:t xml:space="preserve">Accrochage de la charge </w:t>
            </w:r>
          </w:p>
        </w:tc>
        <w:tc>
          <w:tcPr>
            <w:tcW w:w="2410" w:type="dxa"/>
          </w:tcPr>
          <w:p w14:paraId="391F7E33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Écrasement de la main/des doigts</w:t>
            </w:r>
          </w:p>
          <w:p w14:paraId="08394C16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559" w:type="dxa"/>
          </w:tcPr>
          <w:p w14:paraId="1928AE81" w14:textId="77777777" w:rsidR="00401B04" w:rsidRPr="00A7421F" w:rsidRDefault="00401B04" w:rsidP="00D81B71"/>
        </w:tc>
        <w:tc>
          <w:tcPr>
            <w:tcW w:w="4819" w:type="dxa"/>
          </w:tcPr>
          <w:p w14:paraId="48BB3B6B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Porter les équipements de protection individuelle adaptés : gants de protection.</w:t>
            </w:r>
          </w:p>
          <w:p w14:paraId="51E34652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Prendre en compte l’angle de levage. </w:t>
            </w:r>
          </w:p>
          <w:p w14:paraId="170D9873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Choisir le matériel d’élingage et de levage appropriés. </w:t>
            </w:r>
          </w:p>
          <w:p w14:paraId="7F9E3363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73266555" w14:textId="77777777" w:rsidR="00401B04" w:rsidRPr="00A7421F" w:rsidRDefault="00401B04" w:rsidP="00D81B71"/>
        </w:tc>
        <w:tc>
          <w:tcPr>
            <w:tcW w:w="1843" w:type="dxa"/>
          </w:tcPr>
          <w:p w14:paraId="230A5E33" w14:textId="77777777" w:rsidR="00401B04" w:rsidRPr="00A7421F" w:rsidRDefault="00401B04" w:rsidP="00D81B71"/>
        </w:tc>
      </w:tr>
      <w:tr w:rsidR="00401B04" w:rsidRPr="00A7421F" w14:paraId="571735D4" w14:textId="77777777" w:rsidTr="00401B04">
        <w:tc>
          <w:tcPr>
            <w:tcW w:w="2547" w:type="dxa"/>
          </w:tcPr>
          <w:p w14:paraId="44A8AB6A" w14:textId="77777777" w:rsidR="00401B04" w:rsidRPr="00A7421F" w:rsidRDefault="00401B04" w:rsidP="00D81B71">
            <w:r w:rsidRPr="00A7421F">
              <w:t>Levage d’une charge déséquilibrée</w:t>
            </w:r>
          </w:p>
        </w:tc>
        <w:tc>
          <w:tcPr>
            <w:tcW w:w="2410" w:type="dxa"/>
          </w:tcPr>
          <w:p w14:paraId="15C4C8EB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Écrasement d’un membre </w:t>
            </w:r>
          </w:p>
          <w:p w14:paraId="395C96D2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Décès </w:t>
            </w:r>
          </w:p>
        </w:tc>
        <w:tc>
          <w:tcPr>
            <w:tcW w:w="1559" w:type="dxa"/>
          </w:tcPr>
          <w:p w14:paraId="3012B9A7" w14:textId="77777777" w:rsidR="00401B04" w:rsidRPr="00A7421F" w:rsidRDefault="00401B04" w:rsidP="00D81B71"/>
        </w:tc>
        <w:tc>
          <w:tcPr>
            <w:tcW w:w="4819" w:type="dxa"/>
          </w:tcPr>
          <w:p w14:paraId="5968FA75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Veiller à la position centrale du crochet et de l’élingue. </w:t>
            </w:r>
          </w:p>
          <w:p w14:paraId="2B5D3C96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lastRenderedPageBreak/>
              <w:t xml:space="preserve">Toujours lever la charge à +/- 30 cm et en contrôler la stabilité et l’équilibre avant la manœuvre de déplacement. </w:t>
            </w:r>
          </w:p>
          <w:p w14:paraId="32EA176A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Rectifier l’élingage si la charge n’est pas équilibrée. </w:t>
            </w:r>
          </w:p>
          <w:p w14:paraId="59911DF0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Reposer la charge en cas de balancement. </w:t>
            </w:r>
          </w:p>
          <w:p w14:paraId="2F3677A0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5797FD21" w14:textId="77777777" w:rsidR="00401B04" w:rsidRPr="00A7421F" w:rsidRDefault="00401B04" w:rsidP="00D81B71"/>
        </w:tc>
        <w:tc>
          <w:tcPr>
            <w:tcW w:w="1843" w:type="dxa"/>
          </w:tcPr>
          <w:p w14:paraId="7CD6CA2E" w14:textId="77777777" w:rsidR="00401B04" w:rsidRPr="00A7421F" w:rsidRDefault="00401B04" w:rsidP="00D81B71"/>
        </w:tc>
      </w:tr>
      <w:tr w:rsidR="00401B04" w:rsidRPr="00A7421F" w14:paraId="1416B2D5" w14:textId="77777777" w:rsidTr="00401B04">
        <w:tc>
          <w:tcPr>
            <w:tcW w:w="2547" w:type="dxa"/>
          </w:tcPr>
          <w:p w14:paraId="3078EE3E" w14:textId="77777777" w:rsidR="00401B04" w:rsidRPr="00A7421F" w:rsidRDefault="00401B04" w:rsidP="00D81B71">
            <w:r w:rsidRPr="00A7421F">
              <w:t xml:space="preserve">Mauvais usage des commandes </w:t>
            </w:r>
          </w:p>
        </w:tc>
        <w:tc>
          <w:tcPr>
            <w:tcW w:w="2410" w:type="dxa"/>
          </w:tcPr>
          <w:p w14:paraId="2A588D67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Écrasement</w:t>
            </w:r>
          </w:p>
          <w:p w14:paraId="223569D5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Ecchymoses</w:t>
            </w:r>
          </w:p>
          <w:p w14:paraId="7629D9CE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Fracture</w:t>
            </w:r>
          </w:p>
          <w:p w14:paraId="3E95B457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Décès</w:t>
            </w:r>
          </w:p>
          <w:p w14:paraId="103434DE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559" w:type="dxa"/>
          </w:tcPr>
          <w:p w14:paraId="3DDCD229" w14:textId="77777777" w:rsidR="00401B04" w:rsidRPr="00A7421F" w:rsidRDefault="00401B04" w:rsidP="00D81B71"/>
        </w:tc>
        <w:tc>
          <w:tcPr>
            <w:tcW w:w="4819" w:type="dxa"/>
          </w:tcPr>
          <w:p w14:paraId="5B773A7F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Prévoir une formation/des informations concernant le fonctionnement du pont roulant et mettre à disposition un manuel d’utilisation.  </w:t>
            </w:r>
          </w:p>
          <w:p w14:paraId="080BFE8B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Ajouter un marquage indiquant la fonction de chaque bouton de commande. </w:t>
            </w:r>
          </w:p>
          <w:p w14:paraId="4F30DD42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20A500C0" w14:textId="77777777" w:rsidR="00401B04" w:rsidRPr="00A7421F" w:rsidRDefault="00401B04" w:rsidP="00D81B71"/>
        </w:tc>
        <w:tc>
          <w:tcPr>
            <w:tcW w:w="1843" w:type="dxa"/>
          </w:tcPr>
          <w:p w14:paraId="751A7C12" w14:textId="77777777" w:rsidR="00401B04" w:rsidRPr="00A7421F" w:rsidRDefault="00401B04" w:rsidP="00D81B71"/>
        </w:tc>
      </w:tr>
      <w:tr w:rsidR="00401B04" w:rsidRPr="00A7421F" w14:paraId="66DFB7DD" w14:textId="77777777" w:rsidTr="00401B04">
        <w:tc>
          <w:tcPr>
            <w:tcW w:w="2547" w:type="dxa"/>
          </w:tcPr>
          <w:p w14:paraId="45D74542" w14:textId="77777777" w:rsidR="00401B04" w:rsidRPr="00A7421F" w:rsidRDefault="00401B04" w:rsidP="00D81B71">
            <w:r w:rsidRPr="00A7421F">
              <w:t xml:space="preserve">Chute d’objets </w:t>
            </w:r>
          </w:p>
        </w:tc>
        <w:tc>
          <w:tcPr>
            <w:tcW w:w="2410" w:type="dxa"/>
          </w:tcPr>
          <w:p w14:paraId="6E88D170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Écrasement</w:t>
            </w:r>
          </w:p>
          <w:p w14:paraId="11D79513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Ecchymoses</w:t>
            </w:r>
          </w:p>
          <w:p w14:paraId="167EB639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Fracture</w:t>
            </w:r>
          </w:p>
          <w:p w14:paraId="162164A7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Décès</w:t>
            </w:r>
          </w:p>
          <w:p w14:paraId="1A1F1A23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559" w:type="dxa"/>
          </w:tcPr>
          <w:p w14:paraId="363A5E6C" w14:textId="77777777" w:rsidR="00401B04" w:rsidRPr="00A7421F" w:rsidRDefault="00401B04" w:rsidP="00D81B71"/>
        </w:tc>
        <w:tc>
          <w:tcPr>
            <w:tcW w:w="4819" w:type="dxa"/>
          </w:tcPr>
          <w:p w14:paraId="7845276D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Porter des équipements de protection individuelle adaptés : casque de protection, chaussures de sécurité avec pointes en acier. </w:t>
            </w:r>
          </w:p>
          <w:p w14:paraId="10068AC5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Respecter les consignes et la signalisation internes. </w:t>
            </w:r>
          </w:p>
          <w:p w14:paraId="660658F1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Interdire le passage sous les charges en suspension.</w:t>
            </w:r>
          </w:p>
          <w:p w14:paraId="1C8F0A4B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Interdire le transport d’autres objets ou de personnes au-dessus de la charge.</w:t>
            </w:r>
          </w:p>
          <w:p w14:paraId="368A9293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Respecter la charge maximale autorisée et prévoir une indication sur le pont roulant lui-même. </w:t>
            </w:r>
          </w:p>
          <w:p w14:paraId="7D25D522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2F6E8159" w14:textId="77777777" w:rsidR="00401B04" w:rsidRPr="00A7421F" w:rsidRDefault="00401B04" w:rsidP="00D81B71"/>
        </w:tc>
        <w:tc>
          <w:tcPr>
            <w:tcW w:w="1843" w:type="dxa"/>
          </w:tcPr>
          <w:p w14:paraId="3D6500E2" w14:textId="77777777" w:rsidR="00401B04" w:rsidRPr="00A7421F" w:rsidRDefault="00401B04" w:rsidP="00D81B71"/>
        </w:tc>
      </w:tr>
      <w:tr w:rsidR="00401B04" w:rsidRPr="00A7421F" w14:paraId="5A44F867" w14:textId="77777777" w:rsidTr="00401B04">
        <w:tc>
          <w:tcPr>
            <w:tcW w:w="2547" w:type="dxa"/>
          </w:tcPr>
          <w:p w14:paraId="2F9D8A5A" w14:textId="77777777" w:rsidR="00401B04" w:rsidRPr="00A7421F" w:rsidRDefault="00401B04" w:rsidP="00D81B71">
            <w:r w:rsidRPr="00A7421F">
              <w:t>Heurt contre une charge suspendue/un accessoire de levage</w:t>
            </w:r>
          </w:p>
        </w:tc>
        <w:tc>
          <w:tcPr>
            <w:tcW w:w="2410" w:type="dxa"/>
          </w:tcPr>
          <w:p w14:paraId="49D17C35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Ecchymoses</w:t>
            </w:r>
          </w:p>
          <w:p w14:paraId="0496CB1C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Écrasement </w:t>
            </w:r>
          </w:p>
          <w:p w14:paraId="27FA9A16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Fracture </w:t>
            </w:r>
          </w:p>
          <w:p w14:paraId="53F5F836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Décès</w:t>
            </w:r>
          </w:p>
          <w:p w14:paraId="1E400EA1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559" w:type="dxa"/>
          </w:tcPr>
          <w:p w14:paraId="1A7DF641" w14:textId="77777777" w:rsidR="00401B04" w:rsidRPr="00A7421F" w:rsidRDefault="00401B04" w:rsidP="00D81B71"/>
        </w:tc>
        <w:tc>
          <w:tcPr>
            <w:tcW w:w="4819" w:type="dxa"/>
          </w:tcPr>
          <w:p w14:paraId="6D5CE531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Porter les équipements de protection individuelle adaptés : casque et chaussures de sécurité.</w:t>
            </w:r>
          </w:p>
          <w:p w14:paraId="1FD170E1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Respecter les consignes et la signalisation internes.</w:t>
            </w:r>
          </w:p>
          <w:p w14:paraId="40E426C1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Ne jamais se positionner entre un élément en mouvement et un élément fixe.</w:t>
            </w:r>
          </w:p>
          <w:p w14:paraId="0BAF8ABD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Prévoir des voies pour les piétons.  </w:t>
            </w:r>
          </w:p>
          <w:p w14:paraId="686A3938" w14:textId="77777777" w:rsidR="00401B04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>Prévoir un éclairage suffisant et adapté.</w:t>
            </w:r>
          </w:p>
          <w:p w14:paraId="4E21FAE6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08A3366E" w14:textId="77777777" w:rsidR="00401B04" w:rsidRPr="00A7421F" w:rsidRDefault="00401B04" w:rsidP="00D81B71"/>
        </w:tc>
        <w:tc>
          <w:tcPr>
            <w:tcW w:w="1843" w:type="dxa"/>
          </w:tcPr>
          <w:p w14:paraId="786BCA83" w14:textId="77777777" w:rsidR="00401B04" w:rsidRPr="00A7421F" w:rsidRDefault="00401B04" w:rsidP="00D81B71"/>
        </w:tc>
      </w:tr>
      <w:tr w:rsidR="00401B04" w:rsidRPr="00A7421F" w14:paraId="68DA4ED7" w14:textId="77777777" w:rsidTr="00401B04">
        <w:tc>
          <w:tcPr>
            <w:tcW w:w="2547" w:type="dxa"/>
          </w:tcPr>
          <w:p w14:paraId="22FA6827" w14:textId="77777777" w:rsidR="00401B04" w:rsidRPr="00A7421F" w:rsidRDefault="00401B04" w:rsidP="00D81B71">
            <w:r w:rsidRPr="00A7421F">
              <w:t>Désordre sur le lieu de travail :</w:t>
            </w:r>
          </w:p>
          <w:p w14:paraId="7B7A66BF" w14:textId="77777777" w:rsidR="00401B04" w:rsidRPr="00A7421F" w:rsidRDefault="00401B04" w:rsidP="00D81B71">
            <w:pPr>
              <w:pStyle w:val="Paragraphedeliste"/>
              <w:numPr>
                <w:ilvl w:val="0"/>
                <w:numId w:val="5"/>
              </w:numPr>
            </w:pPr>
            <w:r w:rsidRPr="00A7421F">
              <w:t xml:space="preserve">Matériel au sol </w:t>
            </w:r>
          </w:p>
          <w:p w14:paraId="21C4B1A3" w14:textId="77777777" w:rsidR="00401B04" w:rsidRPr="00A7421F" w:rsidRDefault="00401B04" w:rsidP="00D81B71">
            <w:pPr>
              <w:pStyle w:val="Paragraphedeliste"/>
              <w:numPr>
                <w:ilvl w:val="0"/>
                <w:numId w:val="5"/>
              </w:numPr>
            </w:pPr>
            <w:r w:rsidRPr="00A7421F">
              <w:t>Matériel dans les passages</w:t>
            </w:r>
          </w:p>
          <w:p w14:paraId="11DF849F" w14:textId="77777777" w:rsidR="00401B04" w:rsidRPr="00A7421F" w:rsidRDefault="00401B04" w:rsidP="00D81B71">
            <w:pPr>
              <w:pStyle w:val="Paragraphedeliste"/>
              <w:numPr>
                <w:ilvl w:val="0"/>
                <w:numId w:val="5"/>
              </w:numPr>
            </w:pPr>
            <w:r w:rsidRPr="00A7421F">
              <w:t xml:space="preserve">Absence de marquages au sol </w:t>
            </w:r>
          </w:p>
          <w:p w14:paraId="46EF8966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2410" w:type="dxa"/>
          </w:tcPr>
          <w:p w14:paraId="6E76EC63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 xml:space="preserve">Chutes </w:t>
            </w:r>
          </w:p>
          <w:p w14:paraId="6357861A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 xml:space="preserve">Glissades </w:t>
            </w:r>
          </w:p>
          <w:p w14:paraId="2FC08244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Trébuchements</w:t>
            </w:r>
          </w:p>
        </w:tc>
        <w:tc>
          <w:tcPr>
            <w:tcW w:w="1559" w:type="dxa"/>
          </w:tcPr>
          <w:p w14:paraId="075236FC" w14:textId="77777777" w:rsidR="00401B04" w:rsidRPr="00A7421F" w:rsidRDefault="00401B04" w:rsidP="00D81B71"/>
        </w:tc>
        <w:tc>
          <w:tcPr>
            <w:tcW w:w="4819" w:type="dxa"/>
          </w:tcPr>
          <w:p w14:paraId="78141193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Porter les équipements de protection individuelle adaptés : chaussures de sécurité avec semelles anti-dérapantes.</w:t>
            </w:r>
          </w:p>
          <w:p w14:paraId="34F31ECD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 xml:space="preserve">Informer l’intérimaire sur les instructions et les procédures de sécurité internes. </w:t>
            </w:r>
          </w:p>
          <w:p w14:paraId="6DF1759D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Garder les issues de secours et les voies d’évacuation libres.</w:t>
            </w:r>
          </w:p>
          <w:p w14:paraId="6339EB63" w14:textId="77777777" w:rsidR="00401B04" w:rsidRPr="00A7421F" w:rsidRDefault="00401B04" w:rsidP="00D81B71">
            <w:pPr>
              <w:pStyle w:val="Paragraphedeliste"/>
              <w:numPr>
                <w:ilvl w:val="0"/>
                <w:numId w:val="4"/>
              </w:numPr>
            </w:pPr>
            <w:r w:rsidRPr="00A7421F">
              <w:t>Veiller à l’ordre et à la propreté sur le lieu de travail et prévoir des emplacements de rangement adaptés pour les accessoires de levage, par ex. sangles, chaînes, câbles</w:t>
            </w:r>
            <w:r>
              <w:t>, etc.</w:t>
            </w:r>
            <w:r w:rsidRPr="00A7421F">
              <w:t xml:space="preserve"> </w:t>
            </w:r>
          </w:p>
          <w:p w14:paraId="40082FC6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1418" w:type="dxa"/>
          </w:tcPr>
          <w:p w14:paraId="151D8D9B" w14:textId="77777777" w:rsidR="00401B04" w:rsidRPr="00A7421F" w:rsidRDefault="00401B04" w:rsidP="00D81B71"/>
        </w:tc>
        <w:tc>
          <w:tcPr>
            <w:tcW w:w="1843" w:type="dxa"/>
          </w:tcPr>
          <w:p w14:paraId="29CE4282" w14:textId="77777777" w:rsidR="00401B04" w:rsidRPr="00A7421F" w:rsidRDefault="00401B04" w:rsidP="00D81B71"/>
        </w:tc>
      </w:tr>
      <w:tr w:rsidR="00401B04" w:rsidRPr="00A7421F" w14:paraId="7A951588" w14:textId="77777777" w:rsidTr="00401B04">
        <w:tc>
          <w:tcPr>
            <w:tcW w:w="2547" w:type="dxa"/>
          </w:tcPr>
          <w:p w14:paraId="1A0F713D" w14:textId="77777777" w:rsidR="00401B04" w:rsidRPr="00A7421F" w:rsidRDefault="00401B04" w:rsidP="00D81B71">
            <w:r w:rsidRPr="00A7421F">
              <w:t>Ambiances thermiques extrêmes :</w:t>
            </w:r>
          </w:p>
          <w:p w14:paraId="5D77F08C" w14:textId="77777777" w:rsidR="00401B04" w:rsidRPr="00A7421F" w:rsidRDefault="00401B04" w:rsidP="00D81B71">
            <w:pPr>
              <w:pStyle w:val="Paragraphedeliste"/>
              <w:numPr>
                <w:ilvl w:val="0"/>
                <w:numId w:val="6"/>
              </w:numPr>
            </w:pPr>
            <w:r w:rsidRPr="00A7421F">
              <w:t>Lieux de travail en plein air : &lt; 5°C</w:t>
            </w:r>
          </w:p>
          <w:p w14:paraId="5D541E53" w14:textId="77777777" w:rsidR="00401B04" w:rsidRPr="00A7421F" w:rsidRDefault="00401B04" w:rsidP="00D81B71">
            <w:pPr>
              <w:pStyle w:val="Paragraphedeliste"/>
              <w:numPr>
                <w:ilvl w:val="0"/>
                <w:numId w:val="6"/>
              </w:numPr>
            </w:pPr>
            <w:r w:rsidRPr="00A7421F">
              <w:t xml:space="preserve">Locaux fermés et travail mi-lourd : &lt; 15°C et &gt; 26.7°C (en fonction du degré d’humidité) </w:t>
            </w:r>
          </w:p>
          <w:p w14:paraId="7F1C2C77" w14:textId="77777777" w:rsidR="00401B04" w:rsidRPr="00A7421F" w:rsidRDefault="00401B04" w:rsidP="00D81B71">
            <w:pPr>
              <w:pStyle w:val="Paragraphedeliste"/>
              <w:ind w:left="360"/>
            </w:pPr>
          </w:p>
        </w:tc>
        <w:tc>
          <w:tcPr>
            <w:tcW w:w="2410" w:type="dxa"/>
          </w:tcPr>
          <w:p w14:paraId="76E2DB05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>Perte de concentration</w:t>
            </w:r>
          </w:p>
          <w:p w14:paraId="77F95084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>Déshydratation</w:t>
            </w:r>
          </w:p>
          <w:p w14:paraId="3292C1FA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 xml:space="preserve">Hypothermie </w:t>
            </w:r>
          </w:p>
        </w:tc>
        <w:tc>
          <w:tcPr>
            <w:tcW w:w="1559" w:type="dxa"/>
          </w:tcPr>
          <w:p w14:paraId="43286E8F" w14:textId="77777777" w:rsidR="00401B04" w:rsidRPr="00A7421F" w:rsidRDefault="00401B04" w:rsidP="00D81B71"/>
        </w:tc>
        <w:tc>
          <w:tcPr>
            <w:tcW w:w="4819" w:type="dxa"/>
          </w:tcPr>
          <w:p w14:paraId="01263C85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 xml:space="preserve">Porter les équipements de protection individuelle adaptés : vêtements de protection imperméables, chaussures de sécurité, gants et casque de protection. </w:t>
            </w:r>
          </w:p>
          <w:p w14:paraId="32EC6241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>Limiter l’exposition aux ambiances thermiques extrêmes à quelques heures par jour.</w:t>
            </w:r>
          </w:p>
          <w:p w14:paraId="31822A56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 xml:space="preserve">Prévoir un local chauffé ou frais. </w:t>
            </w:r>
          </w:p>
          <w:p w14:paraId="699EF899" w14:textId="77777777" w:rsidR="00401B04" w:rsidRPr="00A7421F" w:rsidRDefault="00401B04" w:rsidP="00D81B71">
            <w:pPr>
              <w:pStyle w:val="Paragraphedeliste"/>
              <w:numPr>
                <w:ilvl w:val="0"/>
                <w:numId w:val="2"/>
              </w:numPr>
            </w:pPr>
            <w:r w:rsidRPr="00A7421F">
              <w:t xml:space="preserve">Boire suffisamment en cas de fortes chaleurs. </w:t>
            </w:r>
          </w:p>
        </w:tc>
        <w:tc>
          <w:tcPr>
            <w:tcW w:w="1418" w:type="dxa"/>
          </w:tcPr>
          <w:p w14:paraId="12B3F57E" w14:textId="77777777" w:rsidR="00401B04" w:rsidRPr="00A7421F" w:rsidRDefault="00401B04" w:rsidP="00D81B71"/>
        </w:tc>
        <w:tc>
          <w:tcPr>
            <w:tcW w:w="1843" w:type="dxa"/>
          </w:tcPr>
          <w:p w14:paraId="1CDD8DC9" w14:textId="77777777" w:rsidR="00401B04" w:rsidRPr="00A7421F" w:rsidRDefault="00401B04" w:rsidP="00D81B71"/>
        </w:tc>
      </w:tr>
      <w:tr w:rsidR="00401B04" w:rsidRPr="00A7421F" w14:paraId="2A700A39" w14:textId="77777777" w:rsidTr="00401B04">
        <w:tc>
          <w:tcPr>
            <w:tcW w:w="2547" w:type="dxa"/>
          </w:tcPr>
          <w:p w14:paraId="4468077B" w14:textId="77777777" w:rsidR="00401B04" w:rsidRPr="00A7421F" w:rsidRDefault="00401B04" w:rsidP="00D81B71">
            <w:r w:rsidRPr="00A7421F">
              <w:t xml:space="preserve">Exposition au bruit </w:t>
            </w:r>
          </w:p>
        </w:tc>
        <w:tc>
          <w:tcPr>
            <w:tcW w:w="2410" w:type="dxa"/>
          </w:tcPr>
          <w:p w14:paraId="65F3C3EF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Perte d’audition temporaire ou permanente </w:t>
            </w:r>
          </w:p>
          <w:p w14:paraId="53B0A840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Acouphènes </w:t>
            </w:r>
          </w:p>
          <w:p w14:paraId="3B3385D4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Stress </w:t>
            </w:r>
          </w:p>
        </w:tc>
        <w:tc>
          <w:tcPr>
            <w:tcW w:w="1559" w:type="dxa"/>
          </w:tcPr>
          <w:p w14:paraId="42A1E30B" w14:textId="77777777" w:rsidR="00401B04" w:rsidRPr="00A7421F" w:rsidRDefault="00401B04" w:rsidP="00D81B71"/>
        </w:tc>
        <w:tc>
          <w:tcPr>
            <w:tcW w:w="4819" w:type="dxa"/>
          </w:tcPr>
          <w:p w14:paraId="578FEC58" w14:textId="77777777" w:rsidR="00401B04" w:rsidRPr="00A7421F" w:rsidRDefault="00401B04" w:rsidP="00D81B71">
            <w:pPr>
              <w:pStyle w:val="Paragraphedeliste"/>
              <w:numPr>
                <w:ilvl w:val="0"/>
                <w:numId w:val="3"/>
              </w:numPr>
            </w:pPr>
            <w:r w:rsidRPr="00A7421F">
              <w:t xml:space="preserve">Porter des protections auditives telles que des bouchons d’oreille ou des coquilles : </w:t>
            </w:r>
          </w:p>
          <w:p w14:paraId="476AD385" w14:textId="77777777" w:rsidR="00401B04" w:rsidRPr="00A7421F" w:rsidRDefault="00401B04" w:rsidP="00D81B71">
            <w:pPr>
              <w:pStyle w:val="Paragraphedeliste"/>
              <w:numPr>
                <w:ilvl w:val="1"/>
                <w:numId w:val="3"/>
              </w:numPr>
            </w:pPr>
            <w:r w:rsidRPr="00A7421F">
              <w:t>À partir de 80 dB(A) : mise à disposition</w:t>
            </w:r>
          </w:p>
          <w:p w14:paraId="68417034" w14:textId="77777777" w:rsidR="00401B04" w:rsidRPr="00A7421F" w:rsidRDefault="00401B04" w:rsidP="00D81B71">
            <w:pPr>
              <w:pStyle w:val="Paragraphedeliste"/>
              <w:numPr>
                <w:ilvl w:val="1"/>
                <w:numId w:val="3"/>
              </w:numPr>
            </w:pPr>
            <w:r w:rsidRPr="00A7421F">
              <w:t xml:space="preserve">À partir de 85 dB(A) : port obligatoire </w:t>
            </w:r>
          </w:p>
        </w:tc>
        <w:tc>
          <w:tcPr>
            <w:tcW w:w="1418" w:type="dxa"/>
          </w:tcPr>
          <w:p w14:paraId="317A6165" w14:textId="77777777" w:rsidR="00401B04" w:rsidRPr="00A7421F" w:rsidRDefault="00401B04" w:rsidP="00D81B71"/>
        </w:tc>
        <w:tc>
          <w:tcPr>
            <w:tcW w:w="1843" w:type="dxa"/>
          </w:tcPr>
          <w:p w14:paraId="3EF725C0" w14:textId="77777777" w:rsidR="00401B04" w:rsidRPr="00A7421F" w:rsidRDefault="00401B04" w:rsidP="00D81B71">
            <w:r w:rsidRPr="00A7421F">
              <w:t xml:space="preserve">Conseil : porter des protections auditives dès que l’on ne comprend plus une personne située à 1 mètre de distance.  </w:t>
            </w:r>
          </w:p>
        </w:tc>
      </w:tr>
    </w:tbl>
    <w:p w14:paraId="2744ED86" w14:textId="77777777" w:rsidR="00401B04" w:rsidRPr="00A7421F" w:rsidRDefault="00401B04" w:rsidP="00401B04">
      <w:pPr>
        <w:spacing w:after="0"/>
        <w:rPr>
          <w:sz w:val="12"/>
        </w:rPr>
      </w:pPr>
    </w:p>
    <w:p w14:paraId="2CC7B271" w14:textId="77777777" w:rsidR="00D81B71" w:rsidRPr="00DE06D8" w:rsidRDefault="00D81B71" w:rsidP="00D81B71">
      <w:pPr>
        <w:spacing w:after="0"/>
        <w:ind w:right="-643"/>
        <w:jc w:val="both"/>
        <w:rPr>
          <w:b/>
          <w:bCs/>
          <w:iCs/>
          <w:sz w:val="24"/>
          <w:szCs w:val="24"/>
        </w:rPr>
      </w:pPr>
      <w:r w:rsidRPr="00DE06D8">
        <w:rPr>
          <w:b/>
          <w:bCs/>
          <w:iCs/>
          <w:sz w:val="24"/>
          <w:szCs w:val="24"/>
          <w:u w:val="single"/>
        </w:rPr>
        <w:t>Disclaimer</w:t>
      </w:r>
      <w:r w:rsidRPr="00DE06D8">
        <w:rPr>
          <w:b/>
          <w:bCs/>
          <w:iCs/>
          <w:sz w:val="24"/>
          <w:szCs w:val="24"/>
        </w:rPr>
        <w:t> : Cet</w:t>
      </w:r>
      <w:r>
        <w:rPr>
          <w:b/>
          <w:bCs/>
          <w:iCs/>
          <w:sz w:val="24"/>
          <w:szCs w:val="24"/>
        </w:rPr>
        <w:t xml:space="preserve"> inventaire</w:t>
      </w:r>
      <w:r w:rsidRPr="00DE06D8">
        <w:rPr>
          <w:b/>
          <w:bCs/>
          <w:iCs/>
          <w:sz w:val="24"/>
          <w:szCs w:val="24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</w:rPr>
        <w:t>L</w:t>
      </w:r>
      <w:r w:rsidRPr="00DE06D8">
        <w:rPr>
          <w:b/>
          <w:bCs/>
          <w:iCs/>
          <w:sz w:val="24"/>
          <w:szCs w:val="24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</w:rPr>
        <w:t>Par conséquent, l</w:t>
      </w:r>
      <w:r w:rsidRPr="00DE06D8">
        <w:rPr>
          <w:b/>
          <w:bCs/>
          <w:iCs/>
          <w:sz w:val="24"/>
          <w:szCs w:val="24"/>
        </w:rPr>
        <w:t xml:space="preserve">’utilisateur ne </w:t>
      </w:r>
      <w:r>
        <w:rPr>
          <w:b/>
          <w:bCs/>
          <w:iCs/>
          <w:sz w:val="24"/>
          <w:szCs w:val="24"/>
        </w:rPr>
        <w:t xml:space="preserve">doit en aucun cas </w:t>
      </w:r>
      <w:r w:rsidRPr="00DE06D8">
        <w:rPr>
          <w:b/>
          <w:bCs/>
          <w:iCs/>
          <w:sz w:val="24"/>
          <w:szCs w:val="24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</w:rPr>
        <w:t>Kinney</w:t>
      </w:r>
      <w:proofErr w:type="spellEnd"/>
      <w:r w:rsidRPr="00DE06D8">
        <w:rPr>
          <w:b/>
          <w:bCs/>
          <w:iCs/>
          <w:sz w:val="24"/>
          <w:szCs w:val="24"/>
        </w:rPr>
        <w:t xml:space="preserve"> » ou l’évaluation du risque selon des gradations (très faible, faible, moyen, élevé, très élevé).  </w:t>
      </w:r>
    </w:p>
    <w:p w14:paraId="2BC71DE5" w14:textId="207111E1" w:rsidR="00C270CB" w:rsidRDefault="00C270CB" w:rsidP="00D81B71">
      <w:pPr>
        <w:spacing w:after="0"/>
        <w:jc w:val="both"/>
      </w:pPr>
    </w:p>
    <w:sectPr w:rsidR="00C270CB" w:rsidSect="00401B0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0E5B" w14:textId="77777777" w:rsidR="00401B04" w:rsidRDefault="00401B04" w:rsidP="00401B04">
      <w:pPr>
        <w:spacing w:after="0" w:line="240" w:lineRule="auto"/>
      </w:pPr>
      <w:r>
        <w:separator/>
      </w:r>
    </w:p>
  </w:endnote>
  <w:endnote w:type="continuationSeparator" w:id="0">
    <w:p w14:paraId="34BAD67B" w14:textId="77777777" w:rsidR="00401B04" w:rsidRDefault="00401B04" w:rsidP="0040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D11A" w14:textId="77777777" w:rsidR="00401B04" w:rsidRDefault="00401B04" w:rsidP="00401B04">
      <w:pPr>
        <w:spacing w:after="0" w:line="240" w:lineRule="auto"/>
      </w:pPr>
      <w:r>
        <w:separator/>
      </w:r>
    </w:p>
  </w:footnote>
  <w:footnote w:type="continuationSeparator" w:id="0">
    <w:p w14:paraId="11802D4A" w14:textId="77777777" w:rsidR="00401B04" w:rsidRDefault="00401B04" w:rsidP="00401B04">
      <w:pPr>
        <w:spacing w:after="0" w:line="240" w:lineRule="auto"/>
      </w:pPr>
      <w:r>
        <w:continuationSeparator/>
      </w:r>
    </w:p>
  </w:footnote>
  <w:footnote w:id="1">
    <w:p w14:paraId="5F71E550" w14:textId="77777777" w:rsidR="00401B04" w:rsidRPr="004F2AD1" w:rsidRDefault="00401B04" w:rsidP="00401B04">
      <w:pPr>
        <w:pStyle w:val="Notedebasdepage"/>
      </w:pPr>
      <w:r>
        <w:rPr>
          <w:rStyle w:val="Appelnotedebasdep"/>
        </w:rPr>
        <w:footnoteRef/>
      </w:r>
      <w:r w:rsidRPr="004F2AD1">
        <w:t xml:space="preserve"> </w:t>
      </w:r>
      <w:r>
        <w:t xml:space="preserve">TMS ou les troubles musculosquelettiques sont des affections qui résultent de la surcharge musculaire et articulaire.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B996" w14:textId="0FF2CAEF" w:rsidR="00401B04" w:rsidRDefault="00401B0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FF7FB" wp14:editId="2E3F3925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743585" cy="719455"/>
          <wp:effectExtent l="0" t="0" r="0" b="444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A9C"/>
    <w:multiLevelType w:val="hybridMultilevel"/>
    <w:tmpl w:val="6B7270E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F30493C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26FC8"/>
    <w:multiLevelType w:val="hybridMultilevel"/>
    <w:tmpl w:val="2B62CE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E0D1B"/>
    <w:multiLevelType w:val="multilevel"/>
    <w:tmpl w:val="D1449F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9703B60"/>
    <w:multiLevelType w:val="hybridMultilevel"/>
    <w:tmpl w:val="FB5A75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C0109"/>
    <w:multiLevelType w:val="hybridMultilevel"/>
    <w:tmpl w:val="BC441E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715C5"/>
    <w:multiLevelType w:val="multilevel"/>
    <w:tmpl w:val="0A8844A4"/>
    <w:lvl w:ilvl="0">
      <w:start w:val="2"/>
      <w:numFmt w:val="decimal"/>
      <w:pStyle w:val="Kop1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Kop42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2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2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2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2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04"/>
    <w:rsid w:val="00041888"/>
    <w:rsid w:val="001240DF"/>
    <w:rsid w:val="00401B04"/>
    <w:rsid w:val="006708F5"/>
    <w:rsid w:val="007A4245"/>
    <w:rsid w:val="00C270CB"/>
    <w:rsid w:val="00D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267"/>
  <w15:chartTrackingRefBased/>
  <w15:docId w15:val="{AB2C907B-3973-4B3A-8FEA-AA816385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04"/>
  </w:style>
  <w:style w:type="paragraph" w:styleId="Titre1">
    <w:name w:val="heading 1"/>
    <w:basedOn w:val="Kop13"/>
    <w:next w:val="Normal"/>
    <w:link w:val="Titre1Car"/>
    <w:uiPriority w:val="9"/>
    <w:qFormat/>
    <w:rsid w:val="00401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2">
    <w:name w:val="heading 2"/>
    <w:basedOn w:val="Kop22"/>
    <w:next w:val="Normal"/>
    <w:link w:val="Titre2Car"/>
    <w:uiPriority w:val="9"/>
    <w:unhideWhenUsed/>
    <w:qFormat/>
    <w:rsid w:val="00401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B0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1B04"/>
    <w:rPr>
      <w:rFonts w:asciiTheme="majorHAnsi" w:eastAsiaTheme="majorEastAsia" w:hAnsiTheme="majorHAnsi" w:cstheme="majorBidi"/>
      <w:b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401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1B0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B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B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1B04"/>
    <w:rPr>
      <w:vertAlign w:val="superscript"/>
    </w:rPr>
  </w:style>
  <w:style w:type="paragraph" w:customStyle="1" w:styleId="Kop13">
    <w:name w:val="Kop 13"/>
    <w:basedOn w:val="Normal"/>
    <w:rsid w:val="00401B04"/>
    <w:pPr>
      <w:numPr>
        <w:numId w:val="1"/>
      </w:numPr>
    </w:pPr>
  </w:style>
  <w:style w:type="paragraph" w:customStyle="1" w:styleId="Kop22">
    <w:name w:val="Kop 22"/>
    <w:basedOn w:val="Normal"/>
    <w:rsid w:val="00401B04"/>
    <w:pPr>
      <w:numPr>
        <w:ilvl w:val="1"/>
        <w:numId w:val="1"/>
      </w:numPr>
    </w:pPr>
  </w:style>
  <w:style w:type="paragraph" w:customStyle="1" w:styleId="Kop42">
    <w:name w:val="Kop 42"/>
    <w:basedOn w:val="Normal"/>
    <w:rsid w:val="00401B04"/>
    <w:pPr>
      <w:numPr>
        <w:ilvl w:val="3"/>
        <w:numId w:val="1"/>
      </w:numPr>
    </w:pPr>
  </w:style>
  <w:style w:type="paragraph" w:customStyle="1" w:styleId="Kop52">
    <w:name w:val="Kop 52"/>
    <w:basedOn w:val="Normal"/>
    <w:rsid w:val="00401B04"/>
    <w:pPr>
      <w:numPr>
        <w:ilvl w:val="4"/>
        <w:numId w:val="1"/>
      </w:numPr>
    </w:pPr>
  </w:style>
  <w:style w:type="paragraph" w:customStyle="1" w:styleId="Kop62">
    <w:name w:val="Kop 62"/>
    <w:basedOn w:val="Normal"/>
    <w:rsid w:val="00401B04"/>
    <w:pPr>
      <w:numPr>
        <w:ilvl w:val="5"/>
        <w:numId w:val="1"/>
      </w:numPr>
    </w:pPr>
  </w:style>
  <w:style w:type="paragraph" w:customStyle="1" w:styleId="Kop72">
    <w:name w:val="Kop 72"/>
    <w:basedOn w:val="Normal"/>
    <w:rsid w:val="00401B04"/>
    <w:pPr>
      <w:numPr>
        <w:ilvl w:val="6"/>
        <w:numId w:val="1"/>
      </w:numPr>
    </w:pPr>
  </w:style>
  <w:style w:type="paragraph" w:customStyle="1" w:styleId="Kop82">
    <w:name w:val="Kop 82"/>
    <w:basedOn w:val="Normal"/>
    <w:rsid w:val="00401B04"/>
    <w:pPr>
      <w:numPr>
        <w:ilvl w:val="7"/>
        <w:numId w:val="1"/>
      </w:numPr>
    </w:pPr>
  </w:style>
  <w:style w:type="paragraph" w:customStyle="1" w:styleId="Kop92">
    <w:name w:val="Kop 92"/>
    <w:basedOn w:val="Normal"/>
    <w:rsid w:val="00401B04"/>
    <w:pPr>
      <w:numPr>
        <w:ilvl w:val="8"/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0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B04"/>
  </w:style>
  <w:style w:type="paragraph" w:styleId="Pieddepage">
    <w:name w:val="footer"/>
    <w:basedOn w:val="Normal"/>
    <w:link w:val="PieddepageCar"/>
    <w:uiPriority w:val="99"/>
    <w:unhideWhenUsed/>
    <w:rsid w:val="0040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09ADE-C210-42FE-8E00-54E8DAE8F68E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a5713cd-e46e-4c42-981c-7e6dd463605e"/>
    <ds:schemaRef ds:uri="http://schemas.openxmlformats.org/package/2006/metadata/core-properties"/>
    <ds:schemaRef ds:uri="1087e0cc-afe7-487f-aeb1-c3b41e758d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8862C0-D383-49BD-950D-86703433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688E8-0435-4540-8471-26113C02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5</cp:revision>
  <dcterms:created xsi:type="dcterms:W3CDTF">2020-06-17T07:49:00Z</dcterms:created>
  <dcterms:modified xsi:type="dcterms:W3CDTF">2020-06-19T11:15:00Z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