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E57C" w14:textId="12D13473" w:rsidR="00021BBC" w:rsidRPr="0090263A" w:rsidRDefault="00021BBC" w:rsidP="00021BBC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36"/>
        </w:rPr>
      </w:pPr>
      <w:bookmarkStart w:id="0" w:name="_Toc19097696"/>
      <w:r w:rsidRPr="0090263A">
        <w:rPr>
          <w:b/>
          <w:sz w:val="28"/>
          <w:szCs w:val="36"/>
        </w:rPr>
        <w:t xml:space="preserve">Soins de santé (infirmier en </w:t>
      </w:r>
      <w:r w:rsidR="00321406" w:rsidRPr="0090263A">
        <w:rPr>
          <w:b/>
          <w:sz w:val="28"/>
          <w:szCs w:val="36"/>
        </w:rPr>
        <w:t>pédiatrie et néonatologie</w:t>
      </w:r>
      <w:r w:rsidRPr="0090263A">
        <w:rPr>
          <w:b/>
          <w:sz w:val="28"/>
          <w:szCs w:val="36"/>
        </w:rPr>
        <w:t>) : risques et mesures de prévention</w:t>
      </w:r>
      <w:bookmarkEnd w:id="0"/>
    </w:p>
    <w:p w14:paraId="463B897B" w14:textId="77777777" w:rsidR="00021BBC" w:rsidRPr="00A20E5D" w:rsidRDefault="00021BBC" w:rsidP="00021BBC">
      <w:pPr>
        <w:pStyle w:val="Titre1"/>
        <w:rPr>
          <w:vanish/>
        </w:rPr>
      </w:pPr>
      <w:bookmarkStart w:id="1" w:name="_Toc19005517"/>
      <w:bookmarkStart w:id="2" w:name="_Toc19005938"/>
      <w:bookmarkStart w:id="3" w:name="_Toc19016084"/>
      <w:bookmarkStart w:id="4" w:name="_Toc19017897"/>
      <w:bookmarkStart w:id="5" w:name="_Toc19097633"/>
      <w:bookmarkStart w:id="6" w:name="_Toc19097697"/>
      <w:bookmarkEnd w:id="1"/>
      <w:bookmarkEnd w:id="2"/>
      <w:bookmarkEnd w:id="3"/>
      <w:bookmarkEnd w:id="4"/>
      <w:bookmarkEnd w:id="5"/>
      <w:bookmarkEnd w:id="6"/>
    </w:p>
    <w:p w14:paraId="75161FCD" w14:textId="20DBA971" w:rsidR="00021BBC" w:rsidRPr="007A4330" w:rsidRDefault="00021BBC" w:rsidP="00021BBC">
      <w:pPr>
        <w:pStyle w:val="Titre2"/>
        <w:numPr>
          <w:ilvl w:val="0"/>
          <w:numId w:val="0"/>
        </w:numPr>
        <w:ind w:left="576" w:hanging="576"/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843"/>
      </w:tblGrid>
      <w:tr w:rsidR="00021BBC" w:rsidRPr="00A003EC" w14:paraId="5C38068E" w14:textId="77777777" w:rsidTr="00021BBC">
        <w:tc>
          <w:tcPr>
            <w:tcW w:w="14596" w:type="dxa"/>
            <w:gridSpan w:val="6"/>
            <w:shd w:val="clear" w:color="auto" w:fill="D9E2F3" w:themeFill="accent1" w:themeFillTint="33"/>
          </w:tcPr>
          <w:p w14:paraId="6CCEFFCB" w14:textId="77777777" w:rsidR="00021BBC" w:rsidRPr="00A003EC" w:rsidRDefault="00021BBC" w:rsidP="0052082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Général</w:t>
            </w:r>
          </w:p>
        </w:tc>
      </w:tr>
      <w:tr w:rsidR="00021BBC" w:rsidRPr="00A003EC" w14:paraId="4D212BD8" w14:textId="77777777" w:rsidTr="00021BBC">
        <w:tc>
          <w:tcPr>
            <w:tcW w:w="2972" w:type="dxa"/>
          </w:tcPr>
          <w:p w14:paraId="6C606082" w14:textId="77777777" w:rsidR="00021BBC" w:rsidRPr="00A003EC" w:rsidRDefault="00021BBC" w:rsidP="0090263A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</w:tcPr>
          <w:p w14:paraId="48633CC8" w14:textId="77777777" w:rsidR="00021BBC" w:rsidRPr="00A003EC" w:rsidRDefault="00021BBC" w:rsidP="0090263A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221FB1AE" w14:textId="77777777" w:rsidR="00021BBC" w:rsidRPr="00A003EC" w:rsidRDefault="00021BBC" w:rsidP="0090263A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</w:t>
            </w:r>
          </w:p>
        </w:tc>
        <w:tc>
          <w:tcPr>
            <w:tcW w:w="4819" w:type="dxa"/>
          </w:tcPr>
          <w:p w14:paraId="34F01EB4" w14:textId="77777777" w:rsidR="00021BBC" w:rsidRPr="00A003EC" w:rsidRDefault="00021BBC" w:rsidP="0090263A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</w:tcPr>
          <w:p w14:paraId="7AD6A598" w14:textId="77777777" w:rsidR="00021BBC" w:rsidRPr="00A003EC" w:rsidRDefault="00021BBC" w:rsidP="0090263A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843" w:type="dxa"/>
          </w:tcPr>
          <w:p w14:paraId="179BBFFE" w14:textId="77777777" w:rsidR="00021BBC" w:rsidRPr="00A003EC" w:rsidRDefault="00021BBC" w:rsidP="0090263A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021BBC" w:rsidRPr="00A003EC" w14:paraId="6254C1B3" w14:textId="77777777" w:rsidTr="00021BBC">
        <w:tc>
          <w:tcPr>
            <w:tcW w:w="2972" w:type="dxa"/>
          </w:tcPr>
          <w:p w14:paraId="0C9BDCA2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aux agents chimiques, via : </w:t>
            </w:r>
          </w:p>
          <w:p w14:paraId="526BDA30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Gel antibactérien</w:t>
            </w:r>
          </w:p>
          <w:p w14:paraId="0E9E4B24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Médicaments </w:t>
            </w:r>
          </w:p>
          <w:p w14:paraId="69B5668A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Détergents et savons</w:t>
            </w:r>
          </w:p>
          <w:p w14:paraId="6F2B9A64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Latex </w:t>
            </w:r>
          </w:p>
        </w:tc>
        <w:tc>
          <w:tcPr>
            <w:tcW w:w="2126" w:type="dxa"/>
          </w:tcPr>
          <w:p w14:paraId="76CEDB7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Dermatose</w:t>
            </w:r>
          </w:p>
          <w:p w14:paraId="78C78A00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 </w:t>
            </w:r>
          </w:p>
          <w:p w14:paraId="1A060D60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 </w:t>
            </w:r>
          </w:p>
          <w:p w14:paraId="753BDA96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Sécheresse de la peau / des mains </w:t>
            </w:r>
          </w:p>
        </w:tc>
        <w:tc>
          <w:tcPr>
            <w:tcW w:w="1418" w:type="dxa"/>
          </w:tcPr>
          <w:p w14:paraId="143DADF9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D47D824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gants sans latex et sans poudre, chaussures fermées et filet à cheveux.</w:t>
            </w:r>
          </w:p>
          <w:p w14:paraId="683B96C5" w14:textId="642ADFC3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les procédures d’utilisation, les instructions de travail et l’étiquetage des produits</w:t>
            </w:r>
            <w:r w:rsidR="00276A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113FE86" w14:textId="5BD72796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règles sur l’hygiène des mains</w:t>
            </w:r>
            <w:r w:rsidR="00276A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718374B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470DFF34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F044840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3A7B73B1" w14:textId="77777777" w:rsidTr="00021BBC">
        <w:tc>
          <w:tcPr>
            <w:tcW w:w="2972" w:type="dxa"/>
          </w:tcPr>
          <w:p w14:paraId="6897D301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à des agents biologiques, via : </w:t>
            </w:r>
          </w:p>
          <w:p w14:paraId="2386CB8B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Air</w:t>
            </w:r>
          </w:p>
          <w:p w14:paraId="053B68D8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 CMV, tuberculose, etc.) </w:t>
            </w:r>
          </w:p>
          <w:p w14:paraId="5331D5AC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Peau et muqueuses </w:t>
            </w:r>
          </w:p>
          <w:p w14:paraId="39DF11F5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 : Staphylocoques dorés) </w:t>
            </w:r>
          </w:p>
          <w:p w14:paraId="3DC0C21D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Sang et fluides corporels</w:t>
            </w:r>
          </w:p>
          <w:p w14:paraId="26E3B1C5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(Par ex. : Hépatites B/C, HIV)</w:t>
            </w:r>
          </w:p>
          <w:p w14:paraId="0827A73D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Système digestif </w:t>
            </w:r>
          </w:p>
          <w:p w14:paraId="74478C60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Salmonelle) </w:t>
            </w:r>
          </w:p>
        </w:tc>
        <w:tc>
          <w:tcPr>
            <w:tcW w:w="2126" w:type="dxa"/>
          </w:tcPr>
          <w:p w14:paraId="77E12812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13CB3BA5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Irritations </w:t>
            </w:r>
          </w:p>
          <w:p w14:paraId="76BBDB37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Allergies </w:t>
            </w:r>
          </w:p>
        </w:tc>
        <w:tc>
          <w:tcPr>
            <w:tcW w:w="1418" w:type="dxa"/>
          </w:tcPr>
          <w:p w14:paraId="1FD5C89D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77DFDC8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équipements de protection individuelle adaptés : gants jetables, masque respiratoire, lunettes, etc.  </w:t>
            </w:r>
          </w:p>
          <w:p w14:paraId="677DDE2F" w14:textId="681686F9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les vaccinations nécessaires lors de l’évaluation de santé préalable ou périodique</w:t>
            </w:r>
            <w:r w:rsidR="00276A47">
              <w:rPr>
                <w:lang w:val="fr-BE"/>
              </w:rPr>
              <w:t>.</w:t>
            </w:r>
          </w:p>
          <w:p w14:paraId="62C1ACEE" w14:textId="4344E45C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l’établissement, ainsi que les règles relatives à l’hygiène des mains</w:t>
            </w:r>
            <w:r w:rsidR="00276A47">
              <w:rPr>
                <w:lang w:val="fr-BE"/>
              </w:rPr>
              <w:t>.</w:t>
            </w:r>
          </w:p>
          <w:p w14:paraId="3B1409F7" w14:textId="44F97876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toujours propres ; changer de vêtements tous les jours et dès que des salissures sont visibles</w:t>
            </w:r>
            <w:r w:rsidR="00276A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ACF2AF7" w14:textId="318F14F2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porter de vêtements personnels sur les vêtements de travail et ne pas emporter les vêtements de travail à la maison</w:t>
            </w:r>
            <w:r w:rsidR="00276A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8AFFE3A" w14:textId="592345BB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chaussures facilement lavables</w:t>
            </w:r>
            <w:r w:rsidR="00276A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2B8CF43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26F40F2A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BF67F38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52943DF1" w14:textId="77777777" w:rsidTr="00021BBC">
        <w:tc>
          <w:tcPr>
            <w:tcW w:w="2972" w:type="dxa"/>
          </w:tcPr>
          <w:p w14:paraId="2D1219F4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Utilisation d’aiguilles </w:t>
            </w:r>
          </w:p>
        </w:tc>
        <w:tc>
          <w:tcPr>
            <w:tcW w:w="2126" w:type="dxa"/>
          </w:tcPr>
          <w:p w14:paraId="2A7A7883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376E0F62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450FB9F" w14:textId="3936EB2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Collecter les aiguilles usagées dans un récipient à aiguilles</w:t>
            </w:r>
            <w:r w:rsidR="00276A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1D1AE26" w14:textId="5E0CF875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lastRenderedPageBreak/>
              <w:t>Ne pas laisser traîner d’aiguilles usagées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412A1CC" w14:textId="32A489EE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  <w:r w:rsidR="00236758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39D5FF94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1BAB3E5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1AD419FD" w14:textId="77777777" w:rsidTr="00021BBC">
        <w:tc>
          <w:tcPr>
            <w:tcW w:w="2972" w:type="dxa"/>
          </w:tcPr>
          <w:p w14:paraId="1C193A05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Hygiène personnelle ou hygiène des mains insuffisantes </w:t>
            </w:r>
          </w:p>
        </w:tc>
        <w:tc>
          <w:tcPr>
            <w:tcW w:w="2126" w:type="dxa"/>
          </w:tcPr>
          <w:p w14:paraId="0ED381C6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632645F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</w:tc>
        <w:tc>
          <w:tcPr>
            <w:tcW w:w="1418" w:type="dxa"/>
          </w:tcPr>
          <w:p w14:paraId="4E5822E6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63FB489" w14:textId="6D4C38BD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fournir des informations sur les mesures d’hygiène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4FDC395" w14:textId="20299D3A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supports de sensibilisation, par ex. des affichettes avec les instructions et/ou les points d’attention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64526D6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65EFB562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80E620B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54EB07D3" w14:textId="77777777" w:rsidTr="00021BBC">
        <w:tc>
          <w:tcPr>
            <w:tcW w:w="2972" w:type="dxa"/>
          </w:tcPr>
          <w:p w14:paraId="55F5B828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Contact avec les aliments </w:t>
            </w:r>
          </w:p>
        </w:tc>
        <w:tc>
          <w:tcPr>
            <w:tcW w:w="2126" w:type="dxa"/>
          </w:tcPr>
          <w:p w14:paraId="4EA6A7AE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6A7B8D2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Maladies infectieuses </w:t>
            </w:r>
          </w:p>
        </w:tc>
        <w:tc>
          <w:tcPr>
            <w:tcW w:w="1418" w:type="dxa"/>
          </w:tcPr>
          <w:p w14:paraId="20E42F26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CF18DEF" w14:textId="77818991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l’entreprise ainsi que les règles relatives à l’hygiène des mains</w:t>
            </w:r>
            <w:r w:rsidR="00236758">
              <w:rPr>
                <w:lang w:val="fr-BE"/>
              </w:rPr>
              <w:t>.</w:t>
            </w:r>
          </w:p>
          <w:p w14:paraId="09DEEE75" w14:textId="3F87752A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Débarrasser les assiettes et les restes alimentaires après les repas des patients dans les conteneurs prévus à cet effet</w:t>
            </w:r>
            <w:r w:rsidR="00236758">
              <w:rPr>
                <w:lang w:val="fr-BE"/>
              </w:rPr>
              <w:t>.</w:t>
            </w:r>
          </w:p>
          <w:p w14:paraId="486EAFE2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95E3F7A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FB60503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73C81C5F" w14:textId="77777777" w:rsidTr="00021BBC">
        <w:tc>
          <w:tcPr>
            <w:tcW w:w="2972" w:type="dxa"/>
          </w:tcPr>
          <w:p w14:paraId="57980B48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Manipulation de linges et de déchets médicaux </w:t>
            </w:r>
          </w:p>
        </w:tc>
        <w:tc>
          <w:tcPr>
            <w:tcW w:w="2126" w:type="dxa"/>
          </w:tcPr>
          <w:p w14:paraId="7EF5BCFE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Contamination de l’environnement </w:t>
            </w:r>
          </w:p>
          <w:p w14:paraId="3460556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6EBA5239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7CF138CF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D1D50D0" w14:textId="4AA69EE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 : gants jetables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8B21FE3" w14:textId="0A8CB601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sacs en plastique étanches pour l’enlèvement du linge usagé</w:t>
            </w:r>
            <w:r w:rsidR="00236758">
              <w:rPr>
                <w:lang w:val="fr-BE"/>
              </w:rPr>
              <w:t>.</w:t>
            </w:r>
          </w:p>
          <w:p w14:paraId="647E4FFB" w14:textId="532EEEB2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jeter le linge usagé sur le sol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CCF4E96" w14:textId="4A88148E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les chaussures et les pantoufles sur les lits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806BABE" w14:textId="61896905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emporter le linge propre d’une chambre dans une autre. Prendre avec soi juste la bonne quantité de linge pour chaque chambre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536D43A" w14:textId="6F8ED20F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un récipient à aiguilles usagées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378A0AB" w14:textId="551D8335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  <w:r w:rsidR="00236758">
              <w:rPr>
                <w:lang w:val="fr-BE"/>
              </w:rPr>
              <w:t>.</w:t>
            </w:r>
          </w:p>
          <w:p w14:paraId="35B893AB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505CEE8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ADF4E35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121CA419" w14:textId="77777777" w:rsidTr="00021BBC">
        <w:tc>
          <w:tcPr>
            <w:tcW w:w="2972" w:type="dxa"/>
          </w:tcPr>
          <w:p w14:paraId="5EF54F89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Sols souillés, humides et/ou glissants </w:t>
            </w:r>
          </w:p>
        </w:tc>
        <w:tc>
          <w:tcPr>
            <w:tcW w:w="2126" w:type="dxa"/>
          </w:tcPr>
          <w:p w14:paraId="03F931A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09F3C42B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Glissades</w:t>
            </w:r>
          </w:p>
        </w:tc>
        <w:tc>
          <w:tcPr>
            <w:tcW w:w="1418" w:type="dxa"/>
          </w:tcPr>
          <w:p w14:paraId="67B964EF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E621152" w14:textId="683F6889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munies de semelles antidérapantes</w:t>
            </w:r>
            <w:r w:rsidR="00236758">
              <w:rPr>
                <w:lang w:val="fr-BE"/>
              </w:rPr>
              <w:t>.</w:t>
            </w:r>
          </w:p>
          <w:p w14:paraId="233F513B" w14:textId="639A3944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les chaussures et les pantoufles dans les lits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F1C0120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0064076A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87D185F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0646664D" w14:textId="77777777" w:rsidTr="00021BBC">
        <w:tc>
          <w:tcPr>
            <w:tcW w:w="2972" w:type="dxa"/>
          </w:tcPr>
          <w:p w14:paraId="6FCFFBAC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Désordre sur le lieu de travail</w:t>
            </w:r>
          </w:p>
          <w:p w14:paraId="18F6E869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Câblages, supports à perfusion, lits, etc. </w:t>
            </w:r>
          </w:p>
          <w:p w14:paraId="533EB1A0" w14:textId="77777777" w:rsidR="00021BBC" w:rsidRPr="00A003EC" w:rsidRDefault="00021BBC" w:rsidP="0090263A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Matériel dans les passages</w:t>
            </w:r>
          </w:p>
          <w:p w14:paraId="27312AC8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2126" w:type="dxa"/>
          </w:tcPr>
          <w:p w14:paraId="24430476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3A0EF97C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Faux pas</w:t>
            </w:r>
          </w:p>
        </w:tc>
        <w:tc>
          <w:tcPr>
            <w:tcW w:w="1418" w:type="dxa"/>
          </w:tcPr>
          <w:p w14:paraId="6B85E2FC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A61CEB1" w14:textId="2E93DC51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chaussures bien fixées aux pieds et fermées au niveau des orteils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5431A90" w14:textId="7977D781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Ranger le lieu de travail et ne pas laisser traîner le matériel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A5F0457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A366B61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4C21FAF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3731585D" w14:textId="77777777" w:rsidTr="00021BBC">
        <w:tc>
          <w:tcPr>
            <w:tcW w:w="2972" w:type="dxa"/>
          </w:tcPr>
          <w:p w14:paraId="55CF56C3" w14:textId="77777777" w:rsidR="00021BBC" w:rsidRDefault="00021BBC" w:rsidP="0090263A">
            <w:pPr>
              <w:rPr>
                <w:lang w:val="fr-BE"/>
              </w:rPr>
            </w:pPr>
            <w:r>
              <w:rPr>
                <w:lang w:val="fr-BE"/>
              </w:rPr>
              <w:t>Charge psychosociale</w:t>
            </w:r>
          </w:p>
          <w:p w14:paraId="0E4058ED" w14:textId="77777777" w:rsidR="00021BBC" w:rsidRDefault="00021BBC" w:rsidP="0090263A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Organisation du travail</w:t>
            </w:r>
          </w:p>
          <w:p w14:paraId="55A026A8" w14:textId="77777777" w:rsidR="00021BBC" w:rsidRPr="00E1325C" w:rsidRDefault="00021BBC" w:rsidP="0090263A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Confrontation quotidienne avec la maladie, la souffrance et la mort</w:t>
            </w:r>
          </w:p>
        </w:tc>
        <w:tc>
          <w:tcPr>
            <w:tcW w:w="2126" w:type="dxa"/>
          </w:tcPr>
          <w:p w14:paraId="7BF7DB76" w14:textId="77777777" w:rsidR="00021BB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Troubles psychiques</w:t>
            </w:r>
          </w:p>
          <w:p w14:paraId="6EAB354D" w14:textId="77777777" w:rsidR="00021BB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concentration</w:t>
            </w:r>
          </w:p>
          <w:p w14:paraId="3928B97E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motivation</w:t>
            </w:r>
          </w:p>
        </w:tc>
        <w:tc>
          <w:tcPr>
            <w:tcW w:w="1418" w:type="dxa"/>
          </w:tcPr>
          <w:p w14:paraId="6A60ED9D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3888DE2" w14:textId="05936607" w:rsidR="00021BB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Prévoir des informations et de la formation sur la gestion du stress</w:t>
            </w:r>
            <w:r w:rsidR="00236758">
              <w:rPr>
                <w:lang w:val="fr-BE"/>
              </w:rPr>
              <w:t>.</w:t>
            </w:r>
          </w:p>
          <w:p w14:paraId="48B7D584" w14:textId="02BDDF42" w:rsidR="00021BB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Communiquer avec le conseiller en prévention aspects psychosociaux</w:t>
            </w:r>
            <w:r w:rsidR="00236758">
              <w:rPr>
                <w:lang w:val="fr-BE"/>
              </w:rPr>
              <w:t>.</w:t>
            </w:r>
          </w:p>
          <w:p w14:paraId="4F870E8E" w14:textId="492A89BE" w:rsidR="00021BB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Désigner une personne de confiance dans l’organisation</w:t>
            </w:r>
            <w:r w:rsidR="00236758">
              <w:rPr>
                <w:lang w:val="fr-BE"/>
              </w:rPr>
              <w:t>.</w:t>
            </w:r>
          </w:p>
          <w:p w14:paraId="0B46431E" w14:textId="7FF322A7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Organiser des réunions d’équipe et veiller à une bonne communication interne</w:t>
            </w:r>
            <w:r w:rsidR="00236758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21898E19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51D1166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2C785534" w14:textId="77777777" w:rsidTr="00021BBC">
        <w:tc>
          <w:tcPr>
            <w:tcW w:w="2972" w:type="dxa"/>
          </w:tcPr>
          <w:p w14:paraId="7B17A73F" w14:textId="195D759F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Agression verbale et physique </w:t>
            </w:r>
          </w:p>
        </w:tc>
        <w:tc>
          <w:tcPr>
            <w:tcW w:w="2126" w:type="dxa"/>
          </w:tcPr>
          <w:p w14:paraId="55781652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Blessures physiques </w:t>
            </w:r>
          </w:p>
          <w:p w14:paraId="7AFD1A22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5AE07C17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motivation</w:t>
            </w:r>
          </w:p>
          <w:p w14:paraId="7105745D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</w:tc>
        <w:tc>
          <w:tcPr>
            <w:tcW w:w="1418" w:type="dxa"/>
          </w:tcPr>
          <w:p w14:paraId="794E1735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3DD3D2C" w14:textId="2D854F57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98090A3" w14:textId="6E417B05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l’organisation</w:t>
            </w:r>
            <w:r w:rsidR="00236758">
              <w:rPr>
                <w:lang w:val="fr-BE"/>
              </w:rPr>
              <w:t>.</w:t>
            </w:r>
          </w:p>
          <w:p w14:paraId="743973E9" w14:textId="6119546B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des informations sur la prévention et la gestion de l’agression verbale et/ou physique</w:t>
            </w:r>
            <w:r w:rsidR="00236758">
              <w:rPr>
                <w:lang w:val="fr-BE"/>
              </w:rPr>
              <w:t>.</w:t>
            </w:r>
          </w:p>
          <w:p w14:paraId="5B20A269" w14:textId="23C87267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Travailler calmement de sorte à apaiser les patients</w:t>
            </w:r>
            <w:r w:rsidR="00236758">
              <w:rPr>
                <w:lang w:val="fr-BE"/>
              </w:rPr>
              <w:t>.</w:t>
            </w:r>
          </w:p>
          <w:p w14:paraId="0E037E39" w14:textId="5BD9919D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Veiller à avoir toujours les mains chaudes lors des contacts corporels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70E0FA6" w14:textId="44B416B7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S’assurer d’être toujours dans le champ de vision des personnes malentendantes</w:t>
            </w:r>
            <w:r w:rsidR="00236758">
              <w:rPr>
                <w:lang w:val="fr-BE"/>
              </w:rPr>
              <w:t>.</w:t>
            </w:r>
          </w:p>
          <w:p w14:paraId="317B1CF6" w14:textId="4BD84CC9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Former à la gestion de conflits, au contrôle de soi et à la recherche de solutions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B12D20C" w14:textId="77777777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Renseigner sur l’historique des faits d’agression des patients, la démence, les problèmes d’alcool et de drogues. </w:t>
            </w:r>
          </w:p>
        </w:tc>
        <w:tc>
          <w:tcPr>
            <w:tcW w:w="1418" w:type="dxa"/>
          </w:tcPr>
          <w:p w14:paraId="7C10F78A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1F55987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7E903967" w14:textId="77777777" w:rsidTr="00021BBC">
        <w:tc>
          <w:tcPr>
            <w:tcW w:w="2972" w:type="dxa"/>
          </w:tcPr>
          <w:p w14:paraId="1F697878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Travail de nuit et travail poste</w:t>
            </w:r>
          </w:p>
        </w:tc>
        <w:tc>
          <w:tcPr>
            <w:tcW w:w="2126" w:type="dxa"/>
          </w:tcPr>
          <w:p w14:paraId="2C3F5F7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du sommeil</w:t>
            </w:r>
          </w:p>
          <w:p w14:paraId="163F650E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cardiaques et vasculaires </w:t>
            </w:r>
          </w:p>
          <w:p w14:paraId="19147C5E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Diabètes </w:t>
            </w:r>
          </w:p>
          <w:p w14:paraId="41F3D10E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Obésité</w:t>
            </w:r>
          </w:p>
          <w:p w14:paraId="41A7D4B0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psychiques </w:t>
            </w:r>
          </w:p>
        </w:tc>
        <w:tc>
          <w:tcPr>
            <w:tcW w:w="1418" w:type="dxa"/>
          </w:tcPr>
          <w:p w14:paraId="5E972C2B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8864B5B" w14:textId="77777777" w:rsidR="00021BBC" w:rsidRPr="00A003EC" w:rsidRDefault="00021BBC" w:rsidP="0090263A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Sensibiliser les travailleurs à un mode de vie sain, par ex. habitudes alimentaires et consommation d’alcool, sommeil et activités physiques, consommation excessive de caféine, etc. </w:t>
            </w:r>
          </w:p>
          <w:p w14:paraId="0305C4D1" w14:textId="4406A0D9" w:rsidR="00021BBC" w:rsidRPr="00A003EC" w:rsidRDefault="00021BBC" w:rsidP="0090263A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Répartir de manière équilibrée le travail posté (matin, après-midi, nuit)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F5C48D7" w14:textId="4D5578E7" w:rsidR="00021BBC" w:rsidRPr="00A003EC" w:rsidRDefault="00021BBC" w:rsidP="0090263A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la transition directe d’un régime de prestations à un autre et respecter une période de récupération de 12 heures par 24 heures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 </w:t>
            </w:r>
          </w:p>
          <w:p w14:paraId="62631B73" w14:textId="77777777" w:rsidR="00021BBC" w:rsidRPr="00A003EC" w:rsidRDefault="00021BBC" w:rsidP="0090263A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Limiter le travail de nuit à 4 nuits consécutives.</w:t>
            </w:r>
          </w:p>
          <w:p w14:paraId="0F20F63A" w14:textId="630C081D" w:rsidR="00021BBC" w:rsidRPr="00A003EC" w:rsidRDefault="00021BBC" w:rsidP="0090263A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Éviter, si possible, les prestations nocturnes consécutives</w:t>
            </w:r>
            <w:r w:rsidR="00236758">
              <w:rPr>
                <w:lang w:val="fr-BE"/>
              </w:rPr>
              <w:t>.</w:t>
            </w:r>
          </w:p>
          <w:p w14:paraId="7E92D4AD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61F5E73C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1B4C256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2F7ACD7B" w14:textId="77777777" w:rsidTr="00021BBC">
        <w:tc>
          <w:tcPr>
            <w:tcW w:w="2972" w:type="dxa"/>
          </w:tcPr>
          <w:p w14:paraId="7DF70E4A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Pression du travail</w:t>
            </w:r>
          </w:p>
          <w:p w14:paraId="09EC200D" w14:textId="77777777" w:rsidR="00021BBC" w:rsidRPr="00A003EC" w:rsidRDefault="00021BBC" w:rsidP="0090263A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Prise en charge d’un grand nombre de patients </w:t>
            </w:r>
          </w:p>
          <w:p w14:paraId="42964D3E" w14:textId="77777777" w:rsidR="00021BBC" w:rsidRPr="00A003EC" w:rsidRDefault="00021BBC" w:rsidP="0090263A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Manque de personnel</w:t>
            </w:r>
          </w:p>
          <w:p w14:paraId="1B1E180C" w14:textId="77777777" w:rsidR="00021BBC" w:rsidRPr="00A003EC" w:rsidRDefault="00021BBC" w:rsidP="0090263A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Événements soudains, imprévisibles et graves</w:t>
            </w:r>
          </w:p>
          <w:p w14:paraId="6C8D33A3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0002E5A9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Fatigue </w:t>
            </w:r>
          </w:p>
          <w:p w14:paraId="0A31382C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1D44B72C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vigilance </w:t>
            </w:r>
          </w:p>
        </w:tc>
        <w:tc>
          <w:tcPr>
            <w:tcW w:w="1418" w:type="dxa"/>
          </w:tcPr>
          <w:p w14:paraId="7033C35B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CDA7FE2" w14:textId="5FA02457" w:rsidR="00021BBC" w:rsidRPr="00A003EC" w:rsidRDefault="00021BBC" w:rsidP="0090263A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des pauses</w:t>
            </w:r>
            <w:r w:rsidR="00236758">
              <w:rPr>
                <w:lang w:val="fr-BE"/>
              </w:rPr>
              <w:t>.</w:t>
            </w:r>
          </w:p>
          <w:p w14:paraId="3568C477" w14:textId="1D9EF559" w:rsidR="00021BBC" w:rsidRPr="00A003EC" w:rsidRDefault="00021BBC" w:rsidP="0090263A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les périodes de forte pression au travail au responsable du service infirmier ou à un autre responsable</w:t>
            </w:r>
            <w:r w:rsidR="00236758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0F45C806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31749E7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71A397D8" w14:textId="77777777" w:rsidTr="00021BBC">
        <w:tc>
          <w:tcPr>
            <w:tcW w:w="2972" w:type="dxa"/>
          </w:tcPr>
          <w:p w14:paraId="1529A1C2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Maternité</w:t>
            </w:r>
          </w:p>
        </w:tc>
        <w:tc>
          <w:tcPr>
            <w:tcW w:w="2126" w:type="dxa"/>
          </w:tcPr>
          <w:p w14:paraId="792F512F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70ACD9AD" w14:textId="30193A2F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Naissance prématurée</w:t>
            </w:r>
          </w:p>
        </w:tc>
        <w:tc>
          <w:tcPr>
            <w:tcW w:w="1418" w:type="dxa"/>
          </w:tcPr>
          <w:p w14:paraId="3227B0E4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7B9FC29" w14:textId="763725B4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la grossesse à temps au responsable de sorte à adapter le poste de travail en fonction de l’avis du médecin du travail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68E4333" w14:textId="2BD1DA0E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l’exposition aux radiations ionisantes</w:t>
            </w:r>
            <w:r w:rsidR="00236758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2AB4EF4B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A4CDC12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37534948" w14:textId="77777777" w:rsidTr="00021BBC">
        <w:tc>
          <w:tcPr>
            <w:tcW w:w="2972" w:type="dxa"/>
          </w:tcPr>
          <w:p w14:paraId="2C053CAB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Harcèlement sexuel (physique/verbal)</w:t>
            </w:r>
          </w:p>
        </w:tc>
        <w:tc>
          <w:tcPr>
            <w:tcW w:w="2126" w:type="dxa"/>
          </w:tcPr>
          <w:p w14:paraId="5FF5480E" w14:textId="77777777" w:rsidR="00021BBC" w:rsidRPr="00A003EC" w:rsidRDefault="00021BBC" w:rsidP="0090263A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5FDA3C6B" w14:textId="77777777" w:rsidR="00021BBC" w:rsidRPr="00A003EC" w:rsidRDefault="00021BBC" w:rsidP="0090263A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  <w:p w14:paraId="524CADF6" w14:textId="77777777" w:rsidR="00021BBC" w:rsidRPr="00A003EC" w:rsidRDefault="00021BBC" w:rsidP="0090263A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62BA8F15" w14:textId="77777777" w:rsidR="00021BBC" w:rsidRPr="00A003EC" w:rsidRDefault="00021BBC" w:rsidP="0090263A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motivation </w:t>
            </w:r>
          </w:p>
        </w:tc>
        <w:tc>
          <w:tcPr>
            <w:tcW w:w="1418" w:type="dxa"/>
          </w:tcPr>
          <w:p w14:paraId="2A0FF4DE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131B321" w14:textId="52D9EF58" w:rsidR="00021BBC" w:rsidRPr="00A003EC" w:rsidRDefault="00021BBC" w:rsidP="0090263A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  <w:r w:rsidR="00236758">
              <w:rPr>
                <w:lang w:val="fr-BE"/>
              </w:rPr>
              <w:t>.</w:t>
            </w:r>
          </w:p>
          <w:p w14:paraId="2AB1C198" w14:textId="0DBFEDBF" w:rsidR="00021BBC" w:rsidRPr="00A003EC" w:rsidRDefault="00021BBC" w:rsidP="0090263A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l’institution</w:t>
            </w:r>
            <w:r w:rsidR="00236758">
              <w:rPr>
                <w:lang w:val="fr-BE"/>
              </w:rPr>
              <w:t>.</w:t>
            </w:r>
          </w:p>
          <w:p w14:paraId="005CBE70" w14:textId="171065A5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Établir une procédure interne d’intervention et des conseils pratiques</w:t>
            </w:r>
            <w:r w:rsidR="00236758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0102767B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687EB1B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3497F6E1" w14:textId="77777777" w:rsidTr="00021BBC">
        <w:tc>
          <w:tcPr>
            <w:tcW w:w="2972" w:type="dxa"/>
          </w:tcPr>
          <w:p w14:paraId="112F1F7C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Port de charges lourdes </w:t>
            </w:r>
          </w:p>
        </w:tc>
        <w:tc>
          <w:tcPr>
            <w:tcW w:w="2126" w:type="dxa"/>
          </w:tcPr>
          <w:p w14:paraId="57D780BB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017277FB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dorsales</w:t>
            </w:r>
          </w:p>
          <w:p w14:paraId="1F7176D5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musculaires et articulaires</w:t>
            </w:r>
          </w:p>
          <w:p w14:paraId="5EE88805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19B70777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1DA621B8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968603F" w14:textId="6B1839B0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 port de charges</w:t>
            </w:r>
            <w:r w:rsidR="00236758">
              <w:rPr>
                <w:lang w:val="fr-BE"/>
              </w:rPr>
              <w:t>.</w:t>
            </w:r>
          </w:p>
          <w:p w14:paraId="0441008C" w14:textId="1B6A1179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techniques de soulèvement et de port de charges qui préservent le dos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CBE9C0D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moyens techniques disponibles : lève-personne actif/passif, drap de transfert, etc.</w:t>
            </w:r>
          </w:p>
          <w:p w14:paraId="47758A78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34DFF14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23F61CE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6542B2E3" w14:textId="77777777" w:rsidTr="00021BBC">
        <w:tc>
          <w:tcPr>
            <w:tcW w:w="2972" w:type="dxa"/>
          </w:tcPr>
          <w:p w14:paraId="44E6D474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Station debout prolongée</w:t>
            </w:r>
          </w:p>
        </w:tc>
        <w:tc>
          <w:tcPr>
            <w:tcW w:w="2126" w:type="dxa"/>
          </w:tcPr>
          <w:p w14:paraId="66714140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21E12FA9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Varices</w:t>
            </w:r>
          </w:p>
          <w:p w14:paraId="56EE2017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0851E6F4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lombaires</w:t>
            </w:r>
          </w:p>
          <w:p w14:paraId="4915D4E3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6594F5C9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EA5FA63" w14:textId="4F2CFE3C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 courtes pauses, avec la possibilité de s’asseoir</w:t>
            </w:r>
            <w:r w:rsidR="00236758">
              <w:rPr>
                <w:lang w:val="fr-BE"/>
              </w:rPr>
              <w:t>.</w:t>
            </w:r>
          </w:p>
          <w:p w14:paraId="60835DB0" w14:textId="0C22353E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Changer de posture régulièrement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2AAE0BD8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2092E50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7BF5F0C8" w14:textId="77777777" w:rsidTr="00021BBC">
        <w:tc>
          <w:tcPr>
            <w:tcW w:w="2972" w:type="dxa"/>
          </w:tcPr>
          <w:p w14:paraId="4AD5AA2C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Transport de lits, chaises roulantes, chariots, etc.</w:t>
            </w:r>
          </w:p>
        </w:tc>
        <w:tc>
          <w:tcPr>
            <w:tcW w:w="2126" w:type="dxa"/>
          </w:tcPr>
          <w:p w14:paraId="01EE2F8E" w14:textId="77777777" w:rsidR="00021BBC" w:rsidRPr="00A003EC" w:rsidRDefault="00021BBC" w:rsidP="0090263A">
            <w:pPr>
              <w:numPr>
                <w:ilvl w:val="0"/>
                <w:numId w:val="12"/>
              </w:numPr>
              <w:ind w:left="318" w:hanging="318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Coincements d’orteils, de talons, de pieds, etc.</w:t>
            </w:r>
          </w:p>
        </w:tc>
        <w:tc>
          <w:tcPr>
            <w:tcW w:w="1418" w:type="dxa"/>
          </w:tcPr>
          <w:p w14:paraId="29A31EB3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1DD70C6" w14:textId="17613F2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bien fixées aux pieds et fermées au niveau des orteils</w:t>
            </w:r>
            <w:r w:rsidR="00236758">
              <w:rPr>
                <w:lang w:val="fr-BE"/>
              </w:rPr>
              <w:t>.</w:t>
            </w:r>
          </w:p>
          <w:p w14:paraId="573C522A" w14:textId="08C0746B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Mettre systématiquement le frein lorsque le chariot est à l’arrêt</w:t>
            </w:r>
            <w:r w:rsidR="00236758">
              <w:rPr>
                <w:lang w:val="fr-BE"/>
              </w:rPr>
              <w:t>.</w:t>
            </w:r>
          </w:p>
          <w:p w14:paraId="40290760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10CB9DB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042C113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0750292D" w14:textId="77777777" w:rsidTr="00021BBC">
        <w:tc>
          <w:tcPr>
            <w:tcW w:w="2972" w:type="dxa"/>
          </w:tcPr>
          <w:p w14:paraId="25233021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>Utilisation de lits réglables en hauteur</w:t>
            </w:r>
          </w:p>
        </w:tc>
        <w:tc>
          <w:tcPr>
            <w:tcW w:w="2126" w:type="dxa"/>
          </w:tcPr>
          <w:p w14:paraId="51FA250C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Choc</w:t>
            </w:r>
          </w:p>
          <w:p w14:paraId="046C2D02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</w:t>
            </w:r>
          </w:p>
        </w:tc>
        <w:tc>
          <w:tcPr>
            <w:tcW w:w="1418" w:type="dxa"/>
          </w:tcPr>
          <w:p w14:paraId="45074B91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3EAC91A" w14:textId="5A3ED7A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information et une formation sur l’utilisation des lits réglables en hauteur</w:t>
            </w:r>
            <w:r w:rsidR="00236758">
              <w:rPr>
                <w:lang w:val="fr-BE"/>
              </w:rPr>
              <w:t>.</w:t>
            </w:r>
          </w:p>
          <w:p w14:paraId="2131B29A" w14:textId="37E41702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la chute du patient en remettant le lit en position basse dès la fin du soin et, éventuellement relever les barreaux du lit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0A9D94B7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A5EF0FE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  <w:tr w:rsidR="00021BBC" w:rsidRPr="00A003EC" w14:paraId="64382112" w14:textId="77777777" w:rsidTr="00021BBC">
        <w:tc>
          <w:tcPr>
            <w:tcW w:w="2972" w:type="dxa"/>
          </w:tcPr>
          <w:p w14:paraId="29486237" w14:textId="77777777" w:rsidR="00021BBC" w:rsidRPr="00A003EC" w:rsidRDefault="00021BBC" w:rsidP="0090263A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Travail dans une ambiance thermique élevée </w:t>
            </w:r>
          </w:p>
        </w:tc>
        <w:tc>
          <w:tcPr>
            <w:tcW w:w="2126" w:type="dxa"/>
          </w:tcPr>
          <w:p w14:paraId="58EC9AAA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07F65EED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vigilance</w:t>
            </w:r>
          </w:p>
          <w:p w14:paraId="11A4648B" w14:textId="77777777" w:rsidR="00021BBC" w:rsidRPr="00A003EC" w:rsidRDefault="00021BBC" w:rsidP="0090263A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Malaise</w:t>
            </w:r>
          </w:p>
          <w:p w14:paraId="6AB1F60B" w14:textId="77777777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48390420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E600A54" w14:textId="44536C70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adaptés : pantalons larges et blouse</w:t>
            </w:r>
            <w:r w:rsidR="00236758">
              <w:rPr>
                <w:lang w:val="fr-BE"/>
              </w:rPr>
              <w:t>.</w:t>
            </w:r>
          </w:p>
          <w:p w14:paraId="55791606" w14:textId="77777777" w:rsidR="00021BBC" w:rsidRPr="00A003EC" w:rsidRDefault="00021BBC" w:rsidP="0090263A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Prévoir un système de ventilation des locaux </w:t>
            </w:r>
          </w:p>
          <w:p w14:paraId="214ED865" w14:textId="4F73CDD1" w:rsidR="00021BBC" w:rsidRPr="00A003EC" w:rsidRDefault="00021BBC" w:rsidP="0090263A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humidificateurs d’air</w:t>
            </w:r>
            <w:r w:rsidR="00236758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68D069F7" w14:textId="77777777" w:rsidR="00021BBC" w:rsidRPr="00A003EC" w:rsidRDefault="00021BBC" w:rsidP="0090263A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E7E0951" w14:textId="77777777" w:rsidR="00021BBC" w:rsidRPr="00A003EC" w:rsidRDefault="00021BBC" w:rsidP="0090263A">
            <w:pPr>
              <w:rPr>
                <w:lang w:val="fr-BE"/>
              </w:rPr>
            </w:pPr>
          </w:p>
        </w:tc>
      </w:tr>
    </w:tbl>
    <w:p w14:paraId="2443331B" w14:textId="77777777" w:rsidR="0090263A" w:rsidRPr="00DE06D8" w:rsidRDefault="0090263A" w:rsidP="0090263A">
      <w:pPr>
        <w:spacing w:after="0"/>
        <w:ind w:right="-643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585995AA" w14:textId="77777777" w:rsidR="00021BBC" w:rsidRPr="0090263A" w:rsidRDefault="00021BBC" w:rsidP="00021BBC">
      <w:pPr>
        <w:rPr>
          <w:lang w:val="fr-BE"/>
        </w:rPr>
      </w:pPr>
    </w:p>
    <w:p w14:paraId="7FCF8AB2" w14:textId="77777777" w:rsidR="00021BBC" w:rsidRPr="00604006" w:rsidRDefault="00021BBC" w:rsidP="00021BBC">
      <w:pPr>
        <w:spacing w:after="0"/>
        <w:jc w:val="both"/>
        <w:rPr>
          <w:sz w:val="12"/>
        </w:rPr>
      </w:pPr>
    </w:p>
    <w:sectPr w:rsidR="00021BBC" w:rsidRPr="00604006" w:rsidSect="00021BB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05E9" w14:textId="77777777" w:rsidR="001A0FCE" w:rsidRDefault="001A0FCE" w:rsidP="00021BBC">
      <w:pPr>
        <w:spacing w:after="0" w:line="240" w:lineRule="auto"/>
      </w:pPr>
      <w:r>
        <w:separator/>
      </w:r>
    </w:p>
  </w:endnote>
  <w:endnote w:type="continuationSeparator" w:id="0">
    <w:p w14:paraId="75F9668D" w14:textId="77777777" w:rsidR="001A0FCE" w:rsidRDefault="001A0FCE" w:rsidP="0002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C450" w14:textId="77777777" w:rsidR="001A0FCE" w:rsidRDefault="001A0FCE" w:rsidP="00021BBC">
      <w:pPr>
        <w:spacing w:after="0" w:line="240" w:lineRule="auto"/>
      </w:pPr>
      <w:r>
        <w:separator/>
      </w:r>
    </w:p>
  </w:footnote>
  <w:footnote w:type="continuationSeparator" w:id="0">
    <w:p w14:paraId="561A20FF" w14:textId="77777777" w:rsidR="001A0FCE" w:rsidRDefault="001A0FCE" w:rsidP="0002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130A" w14:textId="59BFBFB2" w:rsidR="00021BBC" w:rsidRDefault="00021BBC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2C29FC29" wp14:editId="5345102E">
          <wp:simplePos x="0" y="0"/>
          <wp:positionH relativeFrom="column">
            <wp:posOffset>31750</wp:posOffset>
          </wp:positionH>
          <wp:positionV relativeFrom="paragraph">
            <wp:posOffset>-368935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D2E8BD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0955"/>
    <w:multiLevelType w:val="multilevel"/>
    <w:tmpl w:val="04FCBA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18576E"/>
    <w:multiLevelType w:val="hybridMultilevel"/>
    <w:tmpl w:val="9954D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52786D"/>
    <w:multiLevelType w:val="hybridMultilevel"/>
    <w:tmpl w:val="2458B476"/>
    <w:lvl w:ilvl="0" w:tplc="CA687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BC"/>
    <w:rsid w:val="00021BBC"/>
    <w:rsid w:val="00041888"/>
    <w:rsid w:val="001A0FCE"/>
    <w:rsid w:val="00236758"/>
    <w:rsid w:val="00276A47"/>
    <w:rsid w:val="00321406"/>
    <w:rsid w:val="008A261D"/>
    <w:rsid w:val="0090263A"/>
    <w:rsid w:val="00B80C00"/>
    <w:rsid w:val="00C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CFD0"/>
  <w15:chartTrackingRefBased/>
  <w15:docId w15:val="{EBB8B8A1-80A3-4330-80ED-5C3BAF7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BC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021B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021B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1BBC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021BBC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021BBC"/>
    <w:pPr>
      <w:ind w:left="720"/>
      <w:contextualSpacing/>
    </w:pPr>
  </w:style>
  <w:style w:type="paragraph" w:customStyle="1" w:styleId="Kop14">
    <w:name w:val="Kop 14"/>
    <w:basedOn w:val="Normal"/>
    <w:rsid w:val="00021BBC"/>
    <w:pPr>
      <w:numPr>
        <w:numId w:val="7"/>
      </w:numPr>
    </w:pPr>
  </w:style>
  <w:style w:type="paragraph" w:customStyle="1" w:styleId="Kop24">
    <w:name w:val="Kop 24"/>
    <w:basedOn w:val="Normal"/>
    <w:rsid w:val="00021BBC"/>
    <w:pPr>
      <w:numPr>
        <w:ilvl w:val="1"/>
        <w:numId w:val="7"/>
      </w:numPr>
    </w:pPr>
  </w:style>
  <w:style w:type="paragraph" w:customStyle="1" w:styleId="Kop34">
    <w:name w:val="Kop 34"/>
    <w:basedOn w:val="Normal"/>
    <w:rsid w:val="00021BBC"/>
    <w:pPr>
      <w:numPr>
        <w:ilvl w:val="2"/>
        <w:numId w:val="7"/>
      </w:numPr>
    </w:pPr>
  </w:style>
  <w:style w:type="paragraph" w:customStyle="1" w:styleId="Kop44">
    <w:name w:val="Kop 44"/>
    <w:basedOn w:val="Normal"/>
    <w:rsid w:val="00021BBC"/>
    <w:pPr>
      <w:numPr>
        <w:ilvl w:val="3"/>
        <w:numId w:val="7"/>
      </w:numPr>
    </w:pPr>
  </w:style>
  <w:style w:type="paragraph" w:customStyle="1" w:styleId="Kop54">
    <w:name w:val="Kop 54"/>
    <w:basedOn w:val="Normal"/>
    <w:rsid w:val="00021BBC"/>
    <w:pPr>
      <w:numPr>
        <w:ilvl w:val="4"/>
        <w:numId w:val="7"/>
      </w:numPr>
    </w:pPr>
  </w:style>
  <w:style w:type="paragraph" w:customStyle="1" w:styleId="Kop64">
    <w:name w:val="Kop 64"/>
    <w:basedOn w:val="Normal"/>
    <w:rsid w:val="00021BBC"/>
    <w:pPr>
      <w:numPr>
        <w:ilvl w:val="5"/>
        <w:numId w:val="7"/>
      </w:numPr>
    </w:pPr>
  </w:style>
  <w:style w:type="paragraph" w:customStyle="1" w:styleId="Kop74">
    <w:name w:val="Kop 74"/>
    <w:basedOn w:val="Normal"/>
    <w:rsid w:val="00021BBC"/>
    <w:pPr>
      <w:numPr>
        <w:ilvl w:val="6"/>
        <w:numId w:val="7"/>
      </w:numPr>
    </w:pPr>
  </w:style>
  <w:style w:type="paragraph" w:customStyle="1" w:styleId="Kop84">
    <w:name w:val="Kop 84"/>
    <w:basedOn w:val="Normal"/>
    <w:rsid w:val="00021BBC"/>
    <w:pPr>
      <w:numPr>
        <w:ilvl w:val="7"/>
        <w:numId w:val="7"/>
      </w:numPr>
    </w:pPr>
  </w:style>
  <w:style w:type="paragraph" w:customStyle="1" w:styleId="Kop94">
    <w:name w:val="Kop 94"/>
    <w:basedOn w:val="Normal"/>
    <w:rsid w:val="00021BBC"/>
    <w:pPr>
      <w:numPr>
        <w:ilvl w:val="8"/>
        <w:numId w:val="7"/>
      </w:numPr>
    </w:pPr>
  </w:style>
  <w:style w:type="table" w:customStyle="1" w:styleId="TableGrid1">
    <w:name w:val="Table Grid1"/>
    <w:basedOn w:val="TableauNormal"/>
    <w:next w:val="Grilledutableau"/>
    <w:uiPriority w:val="39"/>
    <w:rsid w:val="00021BB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2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BBC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2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BBC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B6112-A339-4E81-9ECA-3981A6FF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21D04-4832-458F-B298-5DD33922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9B03-870A-4784-A3A0-E7171313A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1312</Words>
  <Characters>7216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6</cp:revision>
  <dcterms:created xsi:type="dcterms:W3CDTF">2020-06-18T07:51:00Z</dcterms:created>
  <dcterms:modified xsi:type="dcterms:W3CDTF">2020-06-19T11:22:00Z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