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CBC7" w14:textId="3A10A152" w:rsidR="00441656" w:rsidRPr="00441656" w:rsidRDefault="00441656" w:rsidP="00441656">
      <w:pPr>
        <w:pStyle w:val="Titre1"/>
        <w:numPr>
          <w:ilvl w:val="0"/>
          <w:numId w:val="0"/>
        </w:numPr>
        <w:spacing w:before="0"/>
        <w:ind w:left="360" w:hanging="360"/>
        <w:rPr>
          <w:b/>
          <w:sz w:val="28"/>
          <w:szCs w:val="28"/>
          <w:lang w:val="fr-BE"/>
        </w:rPr>
      </w:pPr>
      <w:bookmarkStart w:id="0" w:name="_Toc29484693"/>
      <w:r w:rsidRPr="00441656">
        <w:rPr>
          <w:b/>
          <w:sz w:val="28"/>
          <w:szCs w:val="28"/>
          <w:lang w:val="fr-BE"/>
        </w:rPr>
        <w:t>Soudeur : risques et prévention des risques</w:t>
      </w:r>
      <w:bookmarkEnd w:id="0"/>
      <w:r w:rsidRPr="00441656">
        <w:rPr>
          <w:b/>
          <w:sz w:val="28"/>
          <w:szCs w:val="28"/>
          <w:lang w:val="fr-BE"/>
        </w:rPr>
        <w:t xml:space="preserve"> </w:t>
      </w:r>
    </w:p>
    <w:p w14:paraId="1A287A7F" w14:textId="77777777" w:rsidR="00441656" w:rsidRPr="00176FA1" w:rsidRDefault="00441656" w:rsidP="00441656">
      <w:pPr>
        <w:pStyle w:val="Paragraphedeliste"/>
        <w:numPr>
          <w:ilvl w:val="0"/>
          <w:numId w:val="2"/>
        </w:numPr>
        <w:contextualSpacing w:val="0"/>
        <w:rPr>
          <w:vanish/>
          <w:lang w:val="fr-BE"/>
        </w:rPr>
      </w:pPr>
    </w:p>
    <w:p w14:paraId="1DF00E84" w14:textId="30260C57" w:rsidR="00441656" w:rsidRPr="00176FA1" w:rsidRDefault="00441656" w:rsidP="00441656">
      <w:pPr>
        <w:pStyle w:val="Titre2"/>
        <w:numPr>
          <w:ilvl w:val="0"/>
          <w:numId w:val="0"/>
        </w:numPr>
        <w:spacing w:before="0" w:after="240"/>
        <w:rPr>
          <w:lang w:val="fr-BE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1559"/>
        <w:gridCol w:w="4252"/>
        <w:gridCol w:w="1418"/>
        <w:gridCol w:w="1984"/>
      </w:tblGrid>
      <w:tr w:rsidR="00441656" w:rsidRPr="00176FA1" w14:paraId="4336C80B" w14:textId="77777777" w:rsidTr="00441656">
        <w:tc>
          <w:tcPr>
            <w:tcW w:w="2972" w:type="dxa"/>
            <w:shd w:val="clear" w:color="auto" w:fill="DEEAF6" w:themeFill="accent5" w:themeFillTint="33"/>
          </w:tcPr>
          <w:p w14:paraId="327AEA1A" w14:textId="77777777" w:rsidR="00441656" w:rsidRPr="005202FD" w:rsidRDefault="00441656" w:rsidP="00604119">
            <w:pPr>
              <w:rPr>
                <w:b/>
                <w:lang w:val="fr-BE"/>
              </w:rPr>
            </w:pPr>
            <w:bookmarkStart w:id="1" w:name="_Hlk3452121"/>
            <w:r w:rsidRPr="005202FD">
              <w:rPr>
                <w:b/>
                <w:lang w:val="fr-BE"/>
              </w:rPr>
              <w:t>DANGER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3073AF4E" w14:textId="77777777" w:rsidR="00441656" w:rsidRPr="005202FD" w:rsidRDefault="00441656" w:rsidP="00604119">
            <w:pPr>
              <w:rPr>
                <w:b/>
                <w:lang w:val="fr-BE"/>
              </w:rPr>
            </w:pPr>
            <w:r w:rsidRPr="005202FD">
              <w:rPr>
                <w:b/>
                <w:lang w:val="fr-BE"/>
              </w:rPr>
              <w:t>RISQUE</w:t>
            </w:r>
            <w:r>
              <w:rPr>
                <w:b/>
                <w:lang w:val="fr-BE"/>
              </w:rPr>
              <w:t>S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118FE3A" w14:textId="77777777" w:rsidR="00441656" w:rsidRPr="005202FD" w:rsidRDefault="00441656" w:rsidP="00604119">
            <w:pPr>
              <w:rPr>
                <w:b/>
                <w:lang w:val="fr-BE"/>
              </w:rPr>
            </w:pPr>
            <w:r w:rsidRPr="005202FD">
              <w:rPr>
                <w:b/>
                <w:lang w:val="fr-BE"/>
              </w:rPr>
              <w:t xml:space="preserve">ÉVALUATION DU RISQUE 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16DDEE6F" w14:textId="77777777" w:rsidR="00441656" w:rsidRPr="005202FD" w:rsidRDefault="00441656" w:rsidP="00604119">
            <w:pPr>
              <w:rPr>
                <w:b/>
                <w:lang w:val="fr-BE"/>
              </w:rPr>
            </w:pPr>
            <w:r w:rsidRPr="005202FD">
              <w:rPr>
                <w:b/>
                <w:lang w:val="fr-BE"/>
              </w:rPr>
              <w:t>MESURE</w:t>
            </w:r>
            <w:r>
              <w:rPr>
                <w:b/>
                <w:lang w:val="fr-BE"/>
              </w:rPr>
              <w:t>S</w:t>
            </w:r>
            <w:r w:rsidRPr="005202FD">
              <w:rPr>
                <w:b/>
                <w:lang w:val="fr-BE"/>
              </w:rPr>
              <w:t xml:space="preserve"> DE PRÉVENTION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5B10D95C" w14:textId="77777777" w:rsidR="00441656" w:rsidRPr="00176FA1" w:rsidRDefault="00441656" w:rsidP="00604119">
            <w:pPr>
              <w:rPr>
                <w:b/>
                <w:lang w:val="fr-BE"/>
              </w:rPr>
            </w:pPr>
            <w:r w:rsidRPr="00176FA1">
              <w:rPr>
                <w:b/>
                <w:lang w:val="fr-BE"/>
              </w:rPr>
              <w:t>ÉVALUATION DU RISQUE RÉSIDUEL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306F91BD" w14:textId="77777777" w:rsidR="00441656" w:rsidRPr="00176FA1" w:rsidRDefault="00441656" w:rsidP="00604119">
            <w:pPr>
              <w:rPr>
                <w:b/>
                <w:lang w:val="fr-BE"/>
              </w:rPr>
            </w:pPr>
            <w:r w:rsidRPr="00176FA1">
              <w:rPr>
                <w:b/>
                <w:lang w:val="fr-BE"/>
              </w:rPr>
              <w:t>REMARQUES</w:t>
            </w:r>
          </w:p>
        </w:tc>
      </w:tr>
      <w:tr w:rsidR="00441656" w:rsidRPr="00176FA1" w14:paraId="32A53D03" w14:textId="77777777" w:rsidTr="00441656">
        <w:tc>
          <w:tcPr>
            <w:tcW w:w="2972" w:type="dxa"/>
          </w:tcPr>
          <w:p w14:paraId="27A5134E" w14:textId="77777777" w:rsidR="00441656" w:rsidRPr="005202FD" w:rsidRDefault="00441656" w:rsidP="00441656">
            <w:p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Exposition au rayonnement ultraviolet et infrarouge</w:t>
            </w:r>
          </w:p>
        </w:tc>
        <w:tc>
          <w:tcPr>
            <w:tcW w:w="2552" w:type="dxa"/>
          </w:tcPr>
          <w:p w14:paraId="02E271DA" w14:textId="77777777" w:rsidR="00441656" w:rsidRPr="005202FD" w:rsidRDefault="00441656" w:rsidP="00441656">
            <w:pPr>
              <w:pStyle w:val="Paragraphedeliste"/>
              <w:numPr>
                <w:ilvl w:val="0"/>
                <w:numId w:val="17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Blessure aux yeux, par exemple Photokératite</w:t>
            </w:r>
          </w:p>
          <w:p w14:paraId="44367BDB" w14:textId="77777777" w:rsidR="00441656" w:rsidRPr="005202FD" w:rsidRDefault="00441656" w:rsidP="00441656">
            <w:pPr>
              <w:pStyle w:val="Paragraphedeliste"/>
              <w:numPr>
                <w:ilvl w:val="0"/>
                <w:numId w:val="17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Éblouissement temporaire </w:t>
            </w:r>
          </w:p>
          <w:p w14:paraId="793A5B39" w14:textId="77777777" w:rsidR="00441656" w:rsidRPr="005202FD" w:rsidRDefault="00441656" w:rsidP="00441656">
            <w:pPr>
              <w:pStyle w:val="Paragraphedeliste"/>
              <w:numPr>
                <w:ilvl w:val="0"/>
                <w:numId w:val="17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Dommages à la rétine ou au cristallin</w:t>
            </w:r>
          </w:p>
          <w:p w14:paraId="4ECA824E" w14:textId="77777777" w:rsidR="00441656" w:rsidRPr="005202FD" w:rsidRDefault="00441656" w:rsidP="00441656">
            <w:pPr>
              <w:pStyle w:val="Paragraphedeliste"/>
              <w:numPr>
                <w:ilvl w:val="0"/>
                <w:numId w:val="17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Inflammation de la cornée</w:t>
            </w:r>
          </w:p>
          <w:p w14:paraId="49F5DA0E" w14:textId="77777777" w:rsidR="00441656" w:rsidRPr="005202FD" w:rsidRDefault="00441656" w:rsidP="00441656">
            <w:pPr>
              <w:pStyle w:val="Paragraphedeliste"/>
              <w:numPr>
                <w:ilvl w:val="0"/>
                <w:numId w:val="17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Coup de soleil  </w:t>
            </w:r>
          </w:p>
        </w:tc>
        <w:tc>
          <w:tcPr>
            <w:tcW w:w="1559" w:type="dxa"/>
          </w:tcPr>
          <w:p w14:paraId="77BB1E41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4252" w:type="dxa"/>
          </w:tcPr>
          <w:p w14:paraId="60849547" w14:textId="6865A0ED" w:rsidR="00441656" w:rsidRPr="005202FD" w:rsidRDefault="00441656" w:rsidP="00441656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Porter des vêtements de protection </w:t>
            </w:r>
            <w:r>
              <w:rPr>
                <w:bCs/>
                <w:lang w:val="fr-BE"/>
              </w:rPr>
              <w:t>adéquats</w:t>
            </w:r>
            <w:r w:rsidRPr="005202FD">
              <w:rPr>
                <w:bCs/>
                <w:lang w:val="fr-BE"/>
              </w:rPr>
              <w:t>, des lunettes de soudage, un écran ou un bouclier avec un filtre UV approprié, des gants résistant à la chaleur</w:t>
            </w:r>
          </w:p>
          <w:p w14:paraId="47801A0E" w14:textId="1DDB8D73" w:rsidR="00441656" w:rsidRPr="005202FD" w:rsidRDefault="00441656" w:rsidP="00441656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Utiliser un écran de soudage ou une cabine ou un espace séparé pour protéger les personnes présentes de la lumière et de la </w:t>
            </w:r>
            <w:r>
              <w:rPr>
                <w:bCs/>
                <w:lang w:val="fr-BE"/>
              </w:rPr>
              <w:t>fumée</w:t>
            </w:r>
            <w:r w:rsidRPr="005202FD">
              <w:rPr>
                <w:bCs/>
                <w:lang w:val="fr-BE"/>
              </w:rPr>
              <w:t xml:space="preserve"> de soudage</w:t>
            </w:r>
          </w:p>
        </w:tc>
        <w:tc>
          <w:tcPr>
            <w:tcW w:w="1418" w:type="dxa"/>
          </w:tcPr>
          <w:p w14:paraId="1874593D" w14:textId="77777777" w:rsidR="00441656" w:rsidRPr="00BE53B8" w:rsidRDefault="00441656" w:rsidP="009A1371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42903DF2" w14:textId="77777777" w:rsidR="00441656" w:rsidRPr="00BE53B8" w:rsidRDefault="00441656" w:rsidP="009A1371">
            <w:pPr>
              <w:jc w:val="both"/>
              <w:rPr>
                <w:bCs/>
                <w:lang w:val="fr-BE"/>
              </w:rPr>
            </w:pPr>
          </w:p>
        </w:tc>
      </w:tr>
      <w:tr w:rsidR="00441656" w:rsidRPr="00176FA1" w14:paraId="2324B752" w14:textId="77777777" w:rsidTr="00441656">
        <w:tc>
          <w:tcPr>
            <w:tcW w:w="2972" w:type="dxa"/>
          </w:tcPr>
          <w:p w14:paraId="08227C9A" w14:textId="77777777" w:rsidR="00441656" w:rsidRPr="005202FD" w:rsidRDefault="00441656" w:rsidP="00441656">
            <w:p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Exposition aux fumées et gaz de soudure toxiques</w:t>
            </w:r>
          </w:p>
        </w:tc>
        <w:tc>
          <w:tcPr>
            <w:tcW w:w="2552" w:type="dxa"/>
          </w:tcPr>
          <w:p w14:paraId="2E12D1A0" w14:textId="77777777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Problèmes respiratoires </w:t>
            </w:r>
          </w:p>
          <w:p w14:paraId="2300AB03" w14:textId="77777777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Intoxication </w:t>
            </w:r>
          </w:p>
          <w:p w14:paraId="6BAD5B4B" w14:textId="77777777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Cancer du poumon </w:t>
            </w:r>
          </w:p>
          <w:p w14:paraId="749437D7" w14:textId="77777777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Irritation des muqueuses</w:t>
            </w:r>
          </w:p>
        </w:tc>
        <w:tc>
          <w:tcPr>
            <w:tcW w:w="1559" w:type="dxa"/>
          </w:tcPr>
          <w:p w14:paraId="752F2D03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4252" w:type="dxa"/>
          </w:tcPr>
          <w:p w14:paraId="2DDEBA50" w14:textId="0ACE3718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Utiliser une cabine ou un local séparé pour le soudage</w:t>
            </w:r>
          </w:p>
          <w:p w14:paraId="549E4A08" w14:textId="24243DAE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Prévoir un système d'extraction approprié et une ventilation adéquate</w:t>
            </w:r>
          </w:p>
          <w:p w14:paraId="578AECDF" w14:textId="1D5F0B43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Démarrer le système d'extraction avant de commencer le soudage</w:t>
            </w:r>
          </w:p>
          <w:p w14:paraId="07AE0A4C" w14:textId="4E29DB07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Si le système d'extraction n'est pas suffisant, utiliser une protection respiratoire</w:t>
            </w:r>
            <w:r>
              <w:rPr>
                <w:bCs/>
                <w:lang w:val="fr-BE"/>
              </w:rPr>
              <w:t xml:space="preserve"> </w:t>
            </w:r>
          </w:p>
          <w:p w14:paraId="3ACDAC93" w14:textId="77777777" w:rsidR="00441656" w:rsidRPr="005202FD" w:rsidRDefault="00441656" w:rsidP="00441656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7F624842" w14:textId="77777777" w:rsidR="00441656" w:rsidRPr="00BE53B8" w:rsidRDefault="00441656" w:rsidP="009A1371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787B0967" w14:textId="77777777" w:rsidR="00441656" w:rsidRPr="00BE53B8" w:rsidRDefault="00441656" w:rsidP="009A1371">
            <w:pPr>
              <w:jc w:val="both"/>
              <w:rPr>
                <w:bCs/>
                <w:lang w:val="fr-BE"/>
              </w:rPr>
            </w:pPr>
          </w:p>
        </w:tc>
      </w:tr>
      <w:tr w:rsidR="00441656" w:rsidRPr="00176FA1" w14:paraId="28D093C3" w14:textId="77777777" w:rsidTr="00441656">
        <w:tc>
          <w:tcPr>
            <w:tcW w:w="2972" w:type="dxa"/>
          </w:tcPr>
          <w:p w14:paraId="529984DA" w14:textId="77777777" w:rsidR="00441656" w:rsidRPr="005202FD" w:rsidRDefault="00441656" w:rsidP="00441656">
            <w:p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Exposition aux vibrations mécaniques</w:t>
            </w:r>
          </w:p>
        </w:tc>
        <w:tc>
          <w:tcPr>
            <w:tcW w:w="2552" w:type="dxa"/>
          </w:tcPr>
          <w:p w14:paraId="668A84A5" w14:textId="77777777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Troubles </w:t>
            </w:r>
            <w:proofErr w:type="spellStart"/>
            <w:r w:rsidRPr="005202FD">
              <w:rPr>
                <w:bCs/>
                <w:lang w:val="fr-BE"/>
              </w:rPr>
              <w:t>musculo-squelettiques</w:t>
            </w:r>
            <w:proofErr w:type="spellEnd"/>
            <w:r w:rsidRPr="005202FD">
              <w:rPr>
                <w:bCs/>
                <w:lang w:val="fr-BE"/>
              </w:rPr>
              <w:t xml:space="preserve"> </w:t>
            </w:r>
          </w:p>
        </w:tc>
        <w:tc>
          <w:tcPr>
            <w:tcW w:w="1559" w:type="dxa"/>
          </w:tcPr>
          <w:p w14:paraId="6B0FABE5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4252" w:type="dxa"/>
          </w:tcPr>
          <w:p w14:paraId="534256FE" w14:textId="623FD504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Fai</w:t>
            </w:r>
            <w:r>
              <w:rPr>
                <w:bCs/>
                <w:lang w:val="fr-BE"/>
              </w:rPr>
              <w:t>re</w:t>
            </w:r>
            <w:r w:rsidRPr="005202FD">
              <w:rPr>
                <w:bCs/>
                <w:lang w:val="fr-BE"/>
              </w:rPr>
              <w:t xml:space="preserve"> de nombreuses pauses</w:t>
            </w:r>
          </w:p>
          <w:p w14:paraId="33103035" w14:textId="45DBE5D3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Limiter le temps d'exposition </w:t>
            </w:r>
          </w:p>
          <w:p w14:paraId="0F16243E" w14:textId="200CB4A8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 xml:space="preserve">Choisir des </w:t>
            </w:r>
            <w:r w:rsidRPr="005202FD">
              <w:rPr>
                <w:bCs/>
                <w:lang w:val="fr-BE"/>
              </w:rPr>
              <w:t>équipement</w:t>
            </w:r>
            <w:r>
              <w:rPr>
                <w:bCs/>
                <w:lang w:val="fr-BE"/>
              </w:rPr>
              <w:t>s</w:t>
            </w:r>
            <w:r w:rsidRPr="005202FD">
              <w:rPr>
                <w:bCs/>
                <w:lang w:val="fr-BE"/>
              </w:rPr>
              <w:t xml:space="preserve"> à faible vibration</w:t>
            </w:r>
            <w:r>
              <w:rPr>
                <w:bCs/>
                <w:lang w:val="fr-BE"/>
              </w:rPr>
              <w:t xml:space="preserve"> lors de l’achat</w:t>
            </w:r>
          </w:p>
          <w:p w14:paraId="44ED8211" w14:textId="1B6F5708" w:rsidR="00441656" w:rsidRPr="005202FD" w:rsidRDefault="00441656" w:rsidP="00414B10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Encourager les </w:t>
            </w:r>
            <w:r>
              <w:rPr>
                <w:bCs/>
                <w:lang w:val="fr-BE"/>
              </w:rPr>
              <w:t>travailleurs</w:t>
            </w:r>
            <w:r w:rsidRPr="005202FD">
              <w:rPr>
                <w:bCs/>
                <w:lang w:val="fr-BE"/>
              </w:rPr>
              <w:t xml:space="preserve"> à maintenir une bonne condition physique</w:t>
            </w:r>
          </w:p>
        </w:tc>
        <w:tc>
          <w:tcPr>
            <w:tcW w:w="1418" w:type="dxa"/>
          </w:tcPr>
          <w:p w14:paraId="66A39539" w14:textId="77777777" w:rsidR="00441656" w:rsidRPr="00BE53B8" w:rsidRDefault="00441656" w:rsidP="009A1371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2CA09DC0" w14:textId="77777777" w:rsidR="00441656" w:rsidRPr="00BE53B8" w:rsidRDefault="00441656" w:rsidP="009A1371">
            <w:pPr>
              <w:jc w:val="both"/>
              <w:rPr>
                <w:bCs/>
                <w:lang w:val="fr-BE"/>
              </w:rPr>
            </w:pPr>
          </w:p>
        </w:tc>
      </w:tr>
      <w:tr w:rsidR="00441656" w:rsidRPr="00176FA1" w14:paraId="5DC1AB65" w14:textId="77777777" w:rsidTr="00441656">
        <w:tc>
          <w:tcPr>
            <w:tcW w:w="2972" w:type="dxa"/>
          </w:tcPr>
          <w:p w14:paraId="64C15E7A" w14:textId="77777777" w:rsidR="00441656" w:rsidRPr="005202FD" w:rsidRDefault="00441656" w:rsidP="00441656">
            <w:p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lastRenderedPageBreak/>
              <w:t>Exposition à des agents chimiques, par ex. des solvants</w:t>
            </w:r>
          </w:p>
        </w:tc>
        <w:tc>
          <w:tcPr>
            <w:tcW w:w="2552" w:type="dxa"/>
          </w:tcPr>
          <w:p w14:paraId="695268D3" w14:textId="77777777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Intoxication </w:t>
            </w:r>
          </w:p>
          <w:p w14:paraId="198C662F" w14:textId="77777777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Irritation des muqueuses </w:t>
            </w:r>
          </w:p>
          <w:p w14:paraId="3A38D265" w14:textId="77777777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Asthme </w:t>
            </w:r>
          </w:p>
          <w:p w14:paraId="30EC44CF" w14:textId="77777777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Eczéma</w:t>
            </w:r>
          </w:p>
          <w:p w14:paraId="7318840D" w14:textId="77777777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Éruption cutanée</w:t>
            </w:r>
          </w:p>
        </w:tc>
        <w:tc>
          <w:tcPr>
            <w:tcW w:w="1559" w:type="dxa"/>
          </w:tcPr>
          <w:p w14:paraId="0E8ED22C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4252" w:type="dxa"/>
          </w:tcPr>
          <w:p w14:paraId="1821A7BF" w14:textId="72E54882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Porter un équipement de protection individuelle approprié, des gants et des vêtements de travail </w:t>
            </w:r>
          </w:p>
          <w:p w14:paraId="5E2D01FB" w14:textId="611BA946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Fournir des informations et une formation sur les procédures habituelles, les instructions de travail et l'étiquetage des produits</w:t>
            </w:r>
          </w:p>
          <w:p w14:paraId="7FB1F1D7" w14:textId="7D39BA9E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Prévoir un système d'extraction adéquat au poste de travail</w:t>
            </w:r>
          </w:p>
          <w:p w14:paraId="6897C861" w14:textId="2AB93796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Limiter le temps d'exposition</w:t>
            </w:r>
          </w:p>
          <w:p w14:paraId="21EF1412" w14:textId="77777777" w:rsidR="00441656" w:rsidRPr="005202FD" w:rsidRDefault="00441656" w:rsidP="00441656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6BE1C06A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4E9FA675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</w:tr>
      <w:tr w:rsidR="00441656" w:rsidRPr="00176FA1" w14:paraId="544902E5" w14:textId="77777777" w:rsidTr="00441656">
        <w:tc>
          <w:tcPr>
            <w:tcW w:w="2972" w:type="dxa"/>
          </w:tcPr>
          <w:p w14:paraId="69D93A2D" w14:textId="77777777" w:rsidR="00441656" w:rsidRPr="005202FD" w:rsidRDefault="00441656" w:rsidP="00441656">
            <w:p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Projection d’</w:t>
            </w:r>
            <w:r w:rsidRPr="005202FD">
              <w:rPr>
                <w:bCs/>
                <w:lang w:val="fr-BE"/>
              </w:rPr>
              <w:t>étincelles et éclaboussures de soudage</w:t>
            </w:r>
          </w:p>
        </w:tc>
        <w:tc>
          <w:tcPr>
            <w:tcW w:w="2552" w:type="dxa"/>
          </w:tcPr>
          <w:p w14:paraId="4D99AD2F" w14:textId="77777777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Incendie</w:t>
            </w:r>
          </w:p>
          <w:p w14:paraId="1B95BFF0" w14:textId="77777777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Explosion</w:t>
            </w:r>
          </w:p>
          <w:p w14:paraId="5AF12830" w14:textId="77777777" w:rsidR="00441656" w:rsidRPr="005202FD" w:rsidRDefault="00441656" w:rsidP="00441656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Brûlure  </w:t>
            </w:r>
          </w:p>
          <w:p w14:paraId="709F96A5" w14:textId="77777777" w:rsidR="00441656" w:rsidRPr="005202FD" w:rsidRDefault="00441656" w:rsidP="00441656">
            <w:pPr>
              <w:pStyle w:val="Paragraphedeliste"/>
              <w:numPr>
                <w:ilvl w:val="0"/>
                <w:numId w:val="3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Lésion oculaire</w:t>
            </w:r>
          </w:p>
        </w:tc>
        <w:tc>
          <w:tcPr>
            <w:tcW w:w="1559" w:type="dxa"/>
          </w:tcPr>
          <w:p w14:paraId="356336A5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4252" w:type="dxa"/>
          </w:tcPr>
          <w:p w14:paraId="3A3437C6" w14:textId="1E963675" w:rsidR="00441656" w:rsidRPr="005202FD" w:rsidRDefault="00441656" w:rsidP="00441656">
            <w:pPr>
              <w:pStyle w:val="Paragraphedeliste"/>
              <w:numPr>
                <w:ilvl w:val="0"/>
                <w:numId w:val="1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Porter des vêtements de protection </w:t>
            </w:r>
            <w:r>
              <w:rPr>
                <w:bCs/>
                <w:lang w:val="fr-BE"/>
              </w:rPr>
              <w:t>adéquat</w:t>
            </w:r>
            <w:r w:rsidRPr="005202FD">
              <w:rPr>
                <w:bCs/>
                <w:lang w:val="fr-BE"/>
              </w:rPr>
              <w:t>s, un tablier de soudage, des lunettes de soudage, un écran ou un bouclier, des gants et des chaussures de soudage</w:t>
            </w:r>
          </w:p>
          <w:p w14:paraId="004C8CFC" w14:textId="03B3EC7E" w:rsidR="00441656" w:rsidRPr="005202FD" w:rsidRDefault="00441656" w:rsidP="00441656">
            <w:pPr>
              <w:pStyle w:val="Paragraphedeliste"/>
              <w:numPr>
                <w:ilvl w:val="0"/>
                <w:numId w:val="15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Instaurer une procédure de</w:t>
            </w:r>
            <w:r w:rsidRPr="005202FD">
              <w:rPr>
                <w:bCs/>
                <w:lang w:val="fr-BE"/>
              </w:rPr>
              <w:t xml:space="preserve"> permis de feu </w:t>
            </w:r>
          </w:p>
          <w:p w14:paraId="13C96229" w14:textId="77777777" w:rsidR="00441656" w:rsidRPr="005202FD" w:rsidRDefault="00441656" w:rsidP="00441656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2FC784BB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143BC6DF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</w:tr>
      <w:tr w:rsidR="00441656" w:rsidRPr="00176FA1" w14:paraId="56944B67" w14:textId="77777777" w:rsidTr="00441656">
        <w:tc>
          <w:tcPr>
            <w:tcW w:w="2972" w:type="dxa"/>
          </w:tcPr>
          <w:p w14:paraId="1000F9A4" w14:textId="77777777" w:rsidR="00441656" w:rsidRPr="005202FD" w:rsidRDefault="00441656" w:rsidP="00441656">
            <w:p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Exposition au bruit</w:t>
            </w:r>
          </w:p>
        </w:tc>
        <w:tc>
          <w:tcPr>
            <w:tcW w:w="2552" w:type="dxa"/>
          </w:tcPr>
          <w:p w14:paraId="1075B204" w14:textId="77777777" w:rsidR="00441656" w:rsidRPr="005202FD" w:rsidRDefault="00441656" w:rsidP="00441656">
            <w:pPr>
              <w:pStyle w:val="Paragraphedeliste"/>
              <w:numPr>
                <w:ilvl w:val="0"/>
                <w:numId w:val="3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Perte d'audition,  temporaire ou permanente</w:t>
            </w:r>
          </w:p>
          <w:p w14:paraId="0E3B0817" w14:textId="77777777" w:rsidR="00441656" w:rsidRPr="005202FD" w:rsidRDefault="00441656" w:rsidP="00441656">
            <w:pPr>
              <w:pStyle w:val="Paragraphedeliste"/>
              <w:numPr>
                <w:ilvl w:val="0"/>
                <w:numId w:val="3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Tinnitus </w:t>
            </w:r>
          </w:p>
          <w:p w14:paraId="09B21C85" w14:textId="77777777" w:rsidR="00441656" w:rsidRPr="005202FD" w:rsidRDefault="00441656" w:rsidP="00441656">
            <w:pPr>
              <w:pStyle w:val="Paragraphedeliste"/>
              <w:numPr>
                <w:ilvl w:val="0"/>
                <w:numId w:val="3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Stress </w:t>
            </w:r>
          </w:p>
          <w:p w14:paraId="10FCDCB5" w14:textId="77777777" w:rsidR="00441656" w:rsidRPr="005202FD" w:rsidRDefault="00441656" w:rsidP="00441656">
            <w:pPr>
              <w:pStyle w:val="Paragraphedeliste"/>
              <w:numPr>
                <w:ilvl w:val="0"/>
                <w:numId w:val="6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Mal de tête </w:t>
            </w:r>
          </w:p>
        </w:tc>
        <w:tc>
          <w:tcPr>
            <w:tcW w:w="1559" w:type="dxa"/>
          </w:tcPr>
          <w:p w14:paraId="4FABBCAE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4252" w:type="dxa"/>
          </w:tcPr>
          <w:p w14:paraId="0A725082" w14:textId="77777777" w:rsidR="00441656" w:rsidRPr="005202FD" w:rsidRDefault="00441656" w:rsidP="00441656">
            <w:pPr>
              <w:pStyle w:val="Paragraphedeliste"/>
              <w:numPr>
                <w:ilvl w:val="0"/>
                <w:numId w:val="3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Porter des protections auditives, telles que des bouchons d'oreille ou des casques auditifs :</w:t>
            </w:r>
          </w:p>
          <w:p w14:paraId="5E8730EA" w14:textId="77777777" w:rsidR="00441656" w:rsidRPr="005202FD" w:rsidRDefault="00441656" w:rsidP="00441656">
            <w:pPr>
              <w:pStyle w:val="Paragraphedeliste"/>
              <w:numPr>
                <w:ilvl w:val="1"/>
                <w:numId w:val="3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À partir de 80 dB(A) : </w:t>
            </w:r>
            <w:r>
              <w:rPr>
                <w:bCs/>
                <w:lang w:val="fr-BE"/>
              </w:rPr>
              <w:t>mise à disposition</w:t>
            </w:r>
          </w:p>
          <w:p w14:paraId="036C68DD" w14:textId="77777777" w:rsidR="00441656" w:rsidRPr="005202FD" w:rsidRDefault="00441656" w:rsidP="00441656">
            <w:pPr>
              <w:pStyle w:val="Paragraphedeliste"/>
              <w:numPr>
                <w:ilvl w:val="1"/>
                <w:numId w:val="3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À partir de 85 dB(A) : port obligatoire </w:t>
            </w:r>
          </w:p>
          <w:p w14:paraId="70FF9051" w14:textId="752E2CF0" w:rsidR="00441656" w:rsidRPr="005202FD" w:rsidRDefault="00441656" w:rsidP="00441656">
            <w:pPr>
              <w:pStyle w:val="Paragraphedeliste"/>
              <w:numPr>
                <w:ilvl w:val="0"/>
                <w:numId w:val="3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Utiliser un équipement peu bruyant </w:t>
            </w:r>
          </w:p>
          <w:p w14:paraId="17506FCF" w14:textId="77777777" w:rsidR="00441656" w:rsidRPr="005202FD" w:rsidRDefault="00441656" w:rsidP="00441656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03DE1FC2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7B751ADB" w14:textId="288443EA" w:rsidR="00441656" w:rsidRPr="00334FAF" w:rsidRDefault="00441656" w:rsidP="00441656">
            <w:pPr>
              <w:rPr>
                <w:bCs/>
                <w:lang w:val="fr-BE"/>
              </w:rPr>
            </w:pPr>
            <w:r w:rsidRPr="00334FAF">
              <w:rPr>
                <w:bCs/>
                <w:lang w:val="fr-BE"/>
              </w:rPr>
              <w:t xml:space="preserve">Conseil : Portez </w:t>
            </w:r>
            <w:r>
              <w:rPr>
                <w:bCs/>
                <w:lang w:val="fr-BE"/>
              </w:rPr>
              <w:t xml:space="preserve">des protections </w:t>
            </w:r>
            <w:r w:rsidRPr="00334FAF">
              <w:rPr>
                <w:bCs/>
                <w:lang w:val="fr-BE"/>
              </w:rPr>
              <w:t>auditive</w:t>
            </w:r>
            <w:r>
              <w:rPr>
                <w:bCs/>
                <w:lang w:val="fr-BE"/>
              </w:rPr>
              <w:t>s</w:t>
            </w:r>
            <w:r w:rsidRPr="00334FAF">
              <w:rPr>
                <w:bCs/>
                <w:lang w:val="fr-BE"/>
              </w:rPr>
              <w:t xml:space="preserve"> si vous ne pouvez pas entendre une personne à une distance de 1 mètre</w:t>
            </w:r>
          </w:p>
        </w:tc>
      </w:tr>
      <w:tr w:rsidR="00441656" w:rsidRPr="00176FA1" w14:paraId="715EB570" w14:textId="77777777" w:rsidTr="00441656">
        <w:tc>
          <w:tcPr>
            <w:tcW w:w="2972" w:type="dxa"/>
          </w:tcPr>
          <w:p w14:paraId="121D9466" w14:textId="77777777" w:rsidR="00441656" w:rsidRPr="005202FD" w:rsidRDefault="00441656" w:rsidP="00441656">
            <w:p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Travailler avec des échafaudages ou des échelles</w:t>
            </w:r>
          </w:p>
        </w:tc>
        <w:tc>
          <w:tcPr>
            <w:tcW w:w="2552" w:type="dxa"/>
          </w:tcPr>
          <w:p w14:paraId="13D2C8B3" w14:textId="77777777" w:rsidR="00441656" w:rsidRDefault="00441656" w:rsidP="00441656">
            <w:pPr>
              <w:pStyle w:val="Paragraphedeliste"/>
              <w:numPr>
                <w:ilvl w:val="0"/>
                <w:numId w:val="7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Chute de hauteur</w:t>
            </w:r>
          </w:p>
          <w:p w14:paraId="186A44FC" w14:textId="77777777" w:rsidR="00441656" w:rsidRDefault="00441656" w:rsidP="00441656">
            <w:pPr>
              <w:pStyle w:val="Paragraphedeliste"/>
              <w:numPr>
                <w:ilvl w:val="0"/>
                <w:numId w:val="7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Ecroulement</w:t>
            </w:r>
            <w:r w:rsidRPr="005202FD">
              <w:rPr>
                <w:bCs/>
                <w:lang w:val="fr-BE"/>
              </w:rPr>
              <w:t xml:space="preserve"> </w:t>
            </w:r>
          </w:p>
          <w:p w14:paraId="3FE535BD" w14:textId="77777777" w:rsidR="00441656" w:rsidRDefault="00441656" w:rsidP="00441656">
            <w:pPr>
              <w:pStyle w:val="Paragraphedeliste"/>
              <w:numPr>
                <w:ilvl w:val="0"/>
                <w:numId w:val="7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Ecrasement</w:t>
            </w:r>
          </w:p>
          <w:p w14:paraId="574B645B" w14:textId="77777777" w:rsidR="00441656" w:rsidRPr="005202FD" w:rsidRDefault="00441656" w:rsidP="00441656">
            <w:pPr>
              <w:pStyle w:val="Paragraphedeliste"/>
              <w:numPr>
                <w:ilvl w:val="0"/>
                <w:numId w:val="7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Heurt</w:t>
            </w:r>
          </w:p>
        </w:tc>
        <w:tc>
          <w:tcPr>
            <w:tcW w:w="1559" w:type="dxa"/>
          </w:tcPr>
          <w:p w14:paraId="0255E8F4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4252" w:type="dxa"/>
          </w:tcPr>
          <w:p w14:paraId="34D68FB7" w14:textId="77777777" w:rsidR="00441656" w:rsidRPr="005202FD" w:rsidRDefault="00441656" w:rsidP="00441656">
            <w:pPr>
              <w:pStyle w:val="Paragraphedeliste"/>
              <w:numPr>
                <w:ilvl w:val="0"/>
                <w:numId w:val="1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Effectuer un contrôle visuel avant utilisation ainsi qu'un contrôle annuel par un organisme agréé. </w:t>
            </w:r>
          </w:p>
          <w:p w14:paraId="2654265E" w14:textId="077EF797" w:rsidR="00441656" w:rsidRPr="005202FD" w:rsidRDefault="00441656" w:rsidP="00441656">
            <w:pPr>
              <w:pStyle w:val="Paragraphedeliste"/>
              <w:numPr>
                <w:ilvl w:val="0"/>
                <w:numId w:val="1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Ne pas utiliser de constructions créées par soi-même. Utiliser le matériel tel que fourni par le fabricant </w:t>
            </w:r>
          </w:p>
          <w:p w14:paraId="0550A830" w14:textId="2CED0DD6" w:rsidR="00441656" w:rsidRPr="005202FD" w:rsidRDefault="00441656" w:rsidP="00441656">
            <w:pPr>
              <w:pStyle w:val="Paragraphedeliste"/>
              <w:numPr>
                <w:ilvl w:val="0"/>
                <w:numId w:val="15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Placer l'échelle complètement ouverte </w:t>
            </w:r>
          </w:p>
          <w:p w14:paraId="0250EA38" w14:textId="1D388424" w:rsidR="00441656" w:rsidRDefault="00441656" w:rsidP="00441656">
            <w:pPr>
              <w:pStyle w:val="Paragraphedeliste"/>
              <w:numPr>
                <w:ilvl w:val="0"/>
                <w:numId w:val="15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Veiller à l’ordre sur le</w:t>
            </w:r>
            <w:r w:rsidRPr="005202FD">
              <w:rPr>
                <w:bCs/>
                <w:lang w:val="fr-BE"/>
              </w:rPr>
              <w:t xml:space="preserve"> lieu de travail</w:t>
            </w:r>
          </w:p>
          <w:p w14:paraId="75362355" w14:textId="1C3211CD" w:rsidR="00441656" w:rsidRPr="005202FD" w:rsidRDefault="00441656" w:rsidP="00441656">
            <w:pPr>
              <w:pStyle w:val="Paragraphedeliste"/>
              <w:numPr>
                <w:ilvl w:val="0"/>
                <w:numId w:val="15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 xml:space="preserve">Vérifier la stabilité du sol </w:t>
            </w:r>
          </w:p>
          <w:p w14:paraId="38F66E8A" w14:textId="77777777" w:rsidR="00441656" w:rsidRPr="005202FD" w:rsidRDefault="00441656" w:rsidP="00441656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60FB7BDF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2ACC0EC0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</w:tr>
      <w:tr w:rsidR="00441656" w:rsidRPr="00176FA1" w14:paraId="371B68C2" w14:textId="77777777" w:rsidTr="00441656">
        <w:tc>
          <w:tcPr>
            <w:tcW w:w="2972" w:type="dxa"/>
          </w:tcPr>
          <w:p w14:paraId="596373C9" w14:textId="77777777" w:rsidR="00441656" w:rsidRPr="00CC288A" w:rsidRDefault="00441656" w:rsidP="00441656">
            <w:pPr>
              <w:rPr>
                <w:bCs/>
                <w:lang w:val="fr-BE"/>
              </w:rPr>
            </w:pPr>
            <w:r w:rsidRPr="00CC288A">
              <w:rPr>
                <w:bCs/>
                <w:lang w:val="fr-BE"/>
              </w:rPr>
              <w:t xml:space="preserve">Chute d'objets </w:t>
            </w:r>
          </w:p>
        </w:tc>
        <w:tc>
          <w:tcPr>
            <w:tcW w:w="2552" w:type="dxa"/>
          </w:tcPr>
          <w:p w14:paraId="575DC7A6" w14:textId="77777777" w:rsidR="00441656" w:rsidRPr="005202FD" w:rsidRDefault="00441656" w:rsidP="00441656">
            <w:pPr>
              <w:pStyle w:val="Paragraphedeliste"/>
              <w:numPr>
                <w:ilvl w:val="0"/>
                <w:numId w:val="7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Fracture</w:t>
            </w:r>
          </w:p>
          <w:p w14:paraId="43C11F25" w14:textId="77777777" w:rsidR="00441656" w:rsidRPr="005202FD" w:rsidRDefault="00441656" w:rsidP="00441656">
            <w:pPr>
              <w:pStyle w:val="Paragraphedeliste"/>
              <w:numPr>
                <w:ilvl w:val="0"/>
                <w:numId w:val="7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Contusion </w:t>
            </w:r>
          </w:p>
          <w:p w14:paraId="62D4A13C" w14:textId="77777777" w:rsidR="00441656" w:rsidRPr="005202FD" w:rsidRDefault="00441656" w:rsidP="00441656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Écrasement  </w:t>
            </w:r>
          </w:p>
        </w:tc>
        <w:tc>
          <w:tcPr>
            <w:tcW w:w="1559" w:type="dxa"/>
          </w:tcPr>
          <w:p w14:paraId="123A6FFD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4252" w:type="dxa"/>
          </w:tcPr>
          <w:p w14:paraId="66E6F3AE" w14:textId="77777777" w:rsidR="00441656" w:rsidRPr="005202FD" w:rsidRDefault="00441656" w:rsidP="00441656">
            <w:pPr>
              <w:pStyle w:val="Paragraphedeliste"/>
              <w:numPr>
                <w:ilvl w:val="0"/>
                <w:numId w:val="7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Porter des </w:t>
            </w:r>
            <w:r>
              <w:rPr>
                <w:bCs/>
                <w:lang w:val="fr-BE"/>
              </w:rPr>
              <w:t xml:space="preserve">équipements </w:t>
            </w:r>
            <w:r w:rsidRPr="005202FD">
              <w:rPr>
                <w:bCs/>
                <w:lang w:val="fr-BE"/>
              </w:rPr>
              <w:t xml:space="preserve">de protection </w:t>
            </w:r>
            <w:r>
              <w:rPr>
                <w:bCs/>
                <w:lang w:val="fr-BE"/>
              </w:rPr>
              <w:t>adéquats</w:t>
            </w:r>
            <w:r w:rsidRPr="005202FD">
              <w:rPr>
                <w:bCs/>
                <w:lang w:val="fr-BE"/>
              </w:rPr>
              <w:t>, en mettant l'accent sur le port du casque de sécurité</w:t>
            </w:r>
          </w:p>
          <w:p w14:paraId="451F51F2" w14:textId="77777777" w:rsidR="00441656" w:rsidRPr="005202FD" w:rsidRDefault="00441656" w:rsidP="00441656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5D9794CB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1B340E75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</w:tr>
      <w:tr w:rsidR="00441656" w:rsidRPr="00176FA1" w14:paraId="1F12C197" w14:textId="77777777" w:rsidTr="00441656">
        <w:tc>
          <w:tcPr>
            <w:tcW w:w="2972" w:type="dxa"/>
          </w:tcPr>
          <w:p w14:paraId="318EB48B" w14:textId="77777777" w:rsidR="00441656" w:rsidRPr="005202FD" w:rsidRDefault="00441656" w:rsidP="00441656">
            <w:p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Températures ambiantes extrêmes </w:t>
            </w:r>
          </w:p>
          <w:p w14:paraId="4AB0F8B6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  <w:p w14:paraId="02422B26" w14:textId="77777777" w:rsidR="00441656" w:rsidRPr="005202FD" w:rsidRDefault="00441656" w:rsidP="00441656">
            <w:pPr>
              <w:pStyle w:val="Paragraphedeliste"/>
              <w:numPr>
                <w:ilvl w:val="0"/>
                <w:numId w:val="14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Travail</w:t>
            </w:r>
            <w:r w:rsidRPr="005202FD">
              <w:rPr>
                <w:bCs/>
                <w:lang w:val="fr-BE"/>
              </w:rPr>
              <w:t xml:space="preserve"> en plein-air : &lt; 5°C</w:t>
            </w:r>
          </w:p>
          <w:p w14:paraId="3F7DF9CA" w14:textId="77777777" w:rsidR="00441656" w:rsidRPr="005202FD" w:rsidRDefault="00441656" w:rsidP="00441656">
            <w:pPr>
              <w:pStyle w:val="Paragraphedeliste"/>
              <w:numPr>
                <w:ilvl w:val="0"/>
                <w:numId w:val="14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Local de travail fermée </w:t>
            </w:r>
            <w:r>
              <w:rPr>
                <w:bCs/>
                <w:lang w:val="fr-BE"/>
              </w:rPr>
              <w:t>en cas de</w:t>
            </w:r>
            <w:r w:rsidRPr="005202FD">
              <w:rPr>
                <w:bCs/>
                <w:lang w:val="fr-BE"/>
              </w:rPr>
              <w:t xml:space="preserve"> travaux </w:t>
            </w:r>
            <w:proofErr w:type="spellStart"/>
            <w:r w:rsidRPr="005202FD">
              <w:rPr>
                <w:bCs/>
                <w:lang w:val="fr-BE"/>
              </w:rPr>
              <w:t>semi-lourds</w:t>
            </w:r>
            <w:proofErr w:type="spellEnd"/>
            <w:r w:rsidRPr="005202FD">
              <w:rPr>
                <w:bCs/>
                <w:lang w:val="fr-BE"/>
              </w:rPr>
              <w:t xml:space="preserve"> : &lt; 15°C et &gt; 26,7°C (selon l</w:t>
            </w:r>
            <w:r>
              <w:rPr>
                <w:bCs/>
                <w:lang w:val="fr-BE"/>
              </w:rPr>
              <w:t>e degré d’</w:t>
            </w:r>
            <w:r w:rsidRPr="005202FD">
              <w:rPr>
                <w:bCs/>
                <w:lang w:val="fr-BE"/>
              </w:rPr>
              <w:t xml:space="preserve">humidité) </w:t>
            </w:r>
          </w:p>
          <w:p w14:paraId="5EE4A1EF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2552" w:type="dxa"/>
          </w:tcPr>
          <w:p w14:paraId="04253FB8" w14:textId="77777777" w:rsidR="00441656" w:rsidRPr="005202FD" w:rsidRDefault="00441656" w:rsidP="00441656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Perte de c</w:t>
            </w:r>
            <w:r w:rsidRPr="005202FD">
              <w:rPr>
                <w:bCs/>
                <w:lang w:val="fr-BE"/>
              </w:rPr>
              <w:t xml:space="preserve">oncentration </w:t>
            </w:r>
          </w:p>
          <w:p w14:paraId="240A2CEB" w14:textId="77777777" w:rsidR="00441656" w:rsidRPr="005202FD" w:rsidRDefault="00441656" w:rsidP="00441656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Déshydratation </w:t>
            </w:r>
          </w:p>
          <w:p w14:paraId="3569FA41" w14:textId="77777777" w:rsidR="00441656" w:rsidRPr="005202FD" w:rsidRDefault="00441656" w:rsidP="00441656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 Hypothermie</w:t>
            </w:r>
          </w:p>
        </w:tc>
        <w:tc>
          <w:tcPr>
            <w:tcW w:w="1559" w:type="dxa"/>
          </w:tcPr>
          <w:p w14:paraId="3DB26302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4252" w:type="dxa"/>
          </w:tcPr>
          <w:p w14:paraId="7F8D23EE" w14:textId="62C6AA7D" w:rsidR="00441656" w:rsidRPr="005202FD" w:rsidRDefault="00441656" w:rsidP="00441656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Porter des </w:t>
            </w:r>
            <w:r>
              <w:rPr>
                <w:bCs/>
                <w:lang w:val="fr-BE"/>
              </w:rPr>
              <w:t>équipements</w:t>
            </w:r>
            <w:r w:rsidRPr="005202FD">
              <w:rPr>
                <w:bCs/>
                <w:lang w:val="fr-BE"/>
              </w:rPr>
              <w:t xml:space="preserve"> de protection adéquats : vêtements de protection imperméables appropriés, chaussures de sécurité, gants et casque de sécurité</w:t>
            </w:r>
          </w:p>
          <w:p w14:paraId="64A86A5A" w14:textId="0ABC6F09" w:rsidR="00441656" w:rsidRPr="005202FD" w:rsidRDefault="00441656" w:rsidP="00441656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Éviter de travailler dans des températures ambiantes extrêmement froides ou chaudes </w:t>
            </w:r>
          </w:p>
          <w:p w14:paraId="2C04F981" w14:textId="1CE14FBB" w:rsidR="00441656" w:rsidRPr="005202FD" w:rsidRDefault="00441656" w:rsidP="00441656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Limiter l'exposition à des températures ambiantes extrêmes à quelques heures par jour </w:t>
            </w:r>
          </w:p>
          <w:p w14:paraId="55E49889" w14:textId="27344FAC" w:rsidR="00441656" w:rsidRPr="005202FD" w:rsidRDefault="00441656" w:rsidP="00441656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Prévoir une pièce chauffée ou refroidie</w:t>
            </w:r>
          </w:p>
          <w:p w14:paraId="3DBCB555" w14:textId="1B6427EB" w:rsidR="00441656" w:rsidRPr="005202FD" w:rsidRDefault="00441656" w:rsidP="00441656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Boire beaucoup d'eau par temps chaud </w:t>
            </w:r>
          </w:p>
          <w:p w14:paraId="0B85577F" w14:textId="77777777" w:rsidR="00441656" w:rsidRPr="005202FD" w:rsidRDefault="00441656" w:rsidP="00441656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157A5FE8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12BE06AC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</w:tr>
      <w:tr w:rsidR="00441656" w:rsidRPr="00176FA1" w14:paraId="702F2CC3" w14:textId="77777777" w:rsidTr="00441656">
        <w:tc>
          <w:tcPr>
            <w:tcW w:w="2972" w:type="dxa"/>
          </w:tcPr>
          <w:p w14:paraId="2D996DD0" w14:textId="77777777" w:rsidR="00441656" w:rsidRPr="005202FD" w:rsidRDefault="00441656" w:rsidP="00441656">
            <w:p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Utilisation d'outils électriques  </w:t>
            </w:r>
          </w:p>
        </w:tc>
        <w:tc>
          <w:tcPr>
            <w:tcW w:w="2552" w:type="dxa"/>
          </w:tcPr>
          <w:p w14:paraId="721681A0" w14:textId="77777777" w:rsidR="00441656" w:rsidRPr="005202FD" w:rsidRDefault="00441656" w:rsidP="00441656">
            <w:pPr>
              <w:pStyle w:val="Paragraphedeliste"/>
              <w:numPr>
                <w:ilvl w:val="0"/>
                <w:numId w:val="9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Brûlures </w:t>
            </w:r>
          </w:p>
          <w:p w14:paraId="6477D8C0" w14:textId="77777777" w:rsidR="00441656" w:rsidRPr="005202FD" w:rsidRDefault="00441656" w:rsidP="00441656">
            <w:pPr>
              <w:pStyle w:val="Paragraphedeliste"/>
              <w:numPr>
                <w:ilvl w:val="0"/>
                <w:numId w:val="9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Électrocution </w:t>
            </w:r>
          </w:p>
          <w:p w14:paraId="64C320E1" w14:textId="77777777" w:rsidR="00441656" w:rsidRPr="005202FD" w:rsidRDefault="00441656" w:rsidP="00441656">
            <w:pPr>
              <w:pStyle w:val="Paragraphedeliste"/>
              <w:numPr>
                <w:ilvl w:val="0"/>
                <w:numId w:val="9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Accident mortel</w:t>
            </w:r>
          </w:p>
        </w:tc>
        <w:tc>
          <w:tcPr>
            <w:tcW w:w="1559" w:type="dxa"/>
          </w:tcPr>
          <w:p w14:paraId="2CD13D7E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4252" w:type="dxa"/>
          </w:tcPr>
          <w:p w14:paraId="7230D7DF" w14:textId="40F89475" w:rsidR="00441656" w:rsidRPr="005202FD" w:rsidRDefault="00441656" w:rsidP="00441656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Faire inspecter les outils électriques chaque année</w:t>
            </w:r>
          </w:p>
          <w:p w14:paraId="56D682B1" w14:textId="64DE5891" w:rsidR="00441656" w:rsidRPr="005202FD" w:rsidRDefault="00441656" w:rsidP="00441656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Vérifier l'outil avant de commencer le travail</w:t>
            </w:r>
          </w:p>
          <w:p w14:paraId="7E60A3BA" w14:textId="379832B7" w:rsidR="00441656" w:rsidRPr="005202FD" w:rsidRDefault="00441656" w:rsidP="00441656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Éviter la présence d'eau et/ou d'humidité dans l'environnement de travail </w:t>
            </w:r>
          </w:p>
          <w:p w14:paraId="5C761832" w14:textId="77777777" w:rsidR="00441656" w:rsidRPr="005202FD" w:rsidRDefault="00441656" w:rsidP="00441656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Prévoir du m</w:t>
            </w:r>
            <w:r w:rsidRPr="005202FD">
              <w:rPr>
                <w:bCs/>
                <w:lang w:val="fr-BE"/>
              </w:rPr>
              <w:t xml:space="preserve">atériel de travail résistant à la pénétration de la poussière et de l'eau (code IP) </w:t>
            </w:r>
          </w:p>
          <w:p w14:paraId="398B194B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28563800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0EAF251B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</w:tr>
      <w:tr w:rsidR="00441656" w:rsidRPr="00176FA1" w14:paraId="5E13E073" w14:textId="77777777" w:rsidTr="00441656">
        <w:tc>
          <w:tcPr>
            <w:tcW w:w="2972" w:type="dxa"/>
          </w:tcPr>
          <w:p w14:paraId="5CD51845" w14:textId="77777777" w:rsidR="00441656" w:rsidRPr="005202FD" w:rsidRDefault="00441656" w:rsidP="00441656">
            <w:p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Position de travail pénible et/ou incorrecte</w:t>
            </w:r>
          </w:p>
        </w:tc>
        <w:tc>
          <w:tcPr>
            <w:tcW w:w="2552" w:type="dxa"/>
          </w:tcPr>
          <w:p w14:paraId="7610EA67" w14:textId="77777777" w:rsidR="00441656" w:rsidRPr="005202FD" w:rsidRDefault="00441656" w:rsidP="00441656">
            <w:pPr>
              <w:pStyle w:val="Paragraphedeliste"/>
              <w:numPr>
                <w:ilvl w:val="0"/>
                <w:numId w:val="11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Troubles </w:t>
            </w:r>
            <w:proofErr w:type="spellStart"/>
            <w:r w:rsidRPr="005202FD">
              <w:rPr>
                <w:bCs/>
                <w:lang w:val="fr-BE"/>
              </w:rPr>
              <w:t>musculo-squelettiques</w:t>
            </w:r>
            <w:proofErr w:type="spellEnd"/>
            <w:r w:rsidRPr="005202FD">
              <w:rPr>
                <w:bCs/>
                <w:lang w:val="fr-BE"/>
              </w:rPr>
              <w:t xml:space="preserve"> </w:t>
            </w:r>
            <w:r w:rsidRPr="005202FD">
              <w:rPr>
                <w:rStyle w:val="Appelnotedebasdep"/>
                <w:bCs/>
                <w:lang w:val="fr-BE"/>
              </w:rPr>
              <w:footnoteReference w:id="1"/>
            </w:r>
          </w:p>
          <w:p w14:paraId="01FD5B5F" w14:textId="77777777" w:rsidR="00441656" w:rsidRPr="005202FD" w:rsidRDefault="00441656" w:rsidP="00441656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Maux de dos</w:t>
            </w:r>
          </w:p>
        </w:tc>
        <w:tc>
          <w:tcPr>
            <w:tcW w:w="1559" w:type="dxa"/>
          </w:tcPr>
          <w:p w14:paraId="6FA6F8FE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4252" w:type="dxa"/>
          </w:tcPr>
          <w:p w14:paraId="73AB0BED" w14:textId="47E1AC34" w:rsidR="00441656" w:rsidRPr="005202FD" w:rsidRDefault="00441656" w:rsidP="00441656">
            <w:pPr>
              <w:pStyle w:val="Paragraphedeliste"/>
              <w:numPr>
                <w:ilvl w:val="0"/>
                <w:numId w:val="11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Limiter le temps d'exposition, changer de posture régulièrement et alterner avec les collègues </w:t>
            </w:r>
          </w:p>
          <w:p w14:paraId="03F58A59" w14:textId="77777777" w:rsidR="00441656" w:rsidRPr="005202FD" w:rsidRDefault="00441656" w:rsidP="00441656">
            <w:pPr>
              <w:pStyle w:val="Paragraphedeliste"/>
              <w:numPr>
                <w:ilvl w:val="0"/>
                <w:numId w:val="11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Encourager l'utilisation d'une posture correcte par le biais d'outils de sensibilisation : explications, affiches, cartes</w:t>
            </w:r>
            <w:r>
              <w:rPr>
                <w:bCs/>
                <w:lang w:val="fr-BE"/>
              </w:rPr>
              <w:t xml:space="preserve"> d’instruction</w:t>
            </w:r>
            <w:r w:rsidRPr="005202FD">
              <w:rPr>
                <w:bCs/>
                <w:lang w:val="fr-BE"/>
              </w:rPr>
              <w:t xml:space="preserve">, etc. </w:t>
            </w:r>
          </w:p>
          <w:p w14:paraId="7DC9268F" w14:textId="77777777" w:rsidR="00441656" w:rsidRPr="005202FD" w:rsidRDefault="00441656" w:rsidP="00441656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28D93EED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314FD10E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</w:tr>
      <w:tr w:rsidR="00441656" w:rsidRPr="00176FA1" w14:paraId="70E1E2EE" w14:textId="77777777" w:rsidTr="00441656">
        <w:tc>
          <w:tcPr>
            <w:tcW w:w="2972" w:type="dxa"/>
          </w:tcPr>
          <w:p w14:paraId="3B9677DD" w14:textId="77777777" w:rsidR="00441656" w:rsidRPr="005202FD" w:rsidRDefault="00441656" w:rsidP="00441656">
            <w:pPr>
              <w:rPr>
                <w:bCs/>
                <w:lang w:val="fr-BE"/>
              </w:rPr>
            </w:pPr>
            <w:r w:rsidRPr="00334FAF">
              <w:rPr>
                <w:bCs/>
                <w:lang w:val="fr-BE"/>
              </w:rPr>
              <w:t>Manipulation de marchandises</w:t>
            </w:r>
          </w:p>
        </w:tc>
        <w:tc>
          <w:tcPr>
            <w:tcW w:w="2552" w:type="dxa"/>
          </w:tcPr>
          <w:p w14:paraId="16813C31" w14:textId="77777777" w:rsidR="00441656" w:rsidRPr="005202FD" w:rsidRDefault="00441656" w:rsidP="00441656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Troubles </w:t>
            </w:r>
            <w:proofErr w:type="spellStart"/>
            <w:r w:rsidRPr="005202FD">
              <w:rPr>
                <w:bCs/>
                <w:lang w:val="fr-BE"/>
              </w:rPr>
              <w:t>musculo-squelettiques</w:t>
            </w:r>
            <w:proofErr w:type="spellEnd"/>
          </w:p>
          <w:p w14:paraId="76EEF4A5" w14:textId="77777777" w:rsidR="00441656" w:rsidRPr="005202FD" w:rsidRDefault="00441656" w:rsidP="00441656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Blessure au dos </w:t>
            </w:r>
          </w:p>
          <w:p w14:paraId="482C5DC5" w14:textId="77777777" w:rsidR="00441656" w:rsidRPr="005202FD" w:rsidRDefault="00441656" w:rsidP="00441656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Écrasement d'un membre </w:t>
            </w:r>
          </w:p>
          <w:p w14:paraId="691623E8" w14:textId="77777777" w:rsidR="00441656" w:rsidRPr="005202FD" w:rsidRDefault="00441656" w:rsidP="00441656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Coupure</w:t>
            </w:r>
          </w:p>
        </w:tc>
        <w:tc>
          <w:tcPr>
            <w:tcW w:w="1559" w:type="dxa"/>
          </w:tcPr>
          <w:p w14:paraId="116C7737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4252" w:type="dxa"/>
          </w:tcPr>
          <w:p w14:paraId="09263D18" w14:textId="35648156" w:rsidR="00441656" w:rsidRPr="005202FD" w:rsidRDefault="00441656" w:rsidP="00441656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Porter un équipement de protection individuelle approprié ; des gants et des chaussures de sécurité</w:t>
            </w:r>
          </w:p>
          <w:p w14:paraId="1B027978" w14:textId="6BC29416" w:rsidR="00441656" w:rsidRPr="005202FD" w:rsidRDefault="00441656" w:rsidP="00441656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Fournir des informations et une formation sur la </w:t>
            </w:r>
            <w:r>
              <w:rPr>
                <w:bCs/>
                <w:lang w:val="fr-BE"/>
              </w:rPr>
              <w:t xml:space="preserve">bonne </w:t>
            </w:r>
            <w:r w:rsidRPr="005202FD">
              <w:rPr>
                <w:bCs/>
                <w:lang w:val="fr-BE"/>
              </w:rPr>
              <w:t xml:space="preserve">manière de manipuler les charges </w:t>
            </w:r>
          </w:p>
          <w:p w14:paraId="48FAA977" w14:textId="3A6F502D" w:rsidR="00441656" w:rsidRPr="005202FD" w:rsidRDefault="00441656" w:rsidP="00441656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Appliquer le</w:t>
            </w:r>
            <w:r w:rsidRPr="005202FD">
              <w:rPr>
                <w:bCs/>
                <w:lang w:val="fr-BE"/>
              </w:rPr>
              <w:t xml:space="preserve">s techniques </w:t>
            </w:r>
            <w:r>
              <w:rPr>
                <w:bCs/>
                <w:lang w:val="fr-BE"/>
              </w:rPr>
              <w:t xml:space="preserve">pour le </w:t>
            </w:r>
            <w:r w:rsidRPr="005202FD">
              <w:rPr>
                <w:bCs/>
                <w:lang w:val="fr-BE"/>
              </w:rPr>
              <w:t xml:space="preserve">levage </w:t>
            </w:r>
            <w:r>
              <w:rPr>
                <w:bCs/>
                <w:lang w:val="fr-BE"/>
              </w:rPr>
              <w:t>de charges</w:t>
            </w:r>
            <w:r w:rsidRPr="005202FD">
              <w:rPr>
                <w:bCs/>
                <w:lang w:val="fr-BE"/>
              </w:rPr>
              <w:t xml:space="preserve"> </w:t>
            </w:r>
          </w:p>
          <w:p w14:paraId="53440EE6" w14:textId="4C6E318A" w:rsidR="00441656" w:rsidRPr="005202FD" w:rsidRDefault="00441656" w:rsidP="00441656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Utilisez les </w:t>
            </w:r>
            <w:r>
              <w:rPr>
                <w:bCs/>
                <w:lang w:val="fr-BE"/>
              </w:rPr>
              <w:t>moyens techniques</w:t>
            </w:r>
            <w:r w:rsidRPr="005202FD">
              <w:rPr>
                <w:bCs/>
                <w:lang w:val="fr-BE"/>
              </w:rPr>
              <w:t xml:space="preserve"> disponibles </w:t>
            </w:r>
          </w:p>
          <w:p w14:paraId="74FC7122" w14:textId="77777777" w:rsidR="00441656" w:rsidRPr="005202FD" w:rsidRDefault="00441656" w:rsidP="00441656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138D0E8E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257411F6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</w:tr>
      <w:tr w:rsidR="00441656" w:rsidRPr="00176FA1" w14:paraId="6BE56E90" w14:textId="77777777" w:rsidTr="00441656">
        <w:tc>
          <w:tcPr>
            <w:tcW w:w="2972" w:type="dxa"/>
          </w:tcPr>
          <w:p w14:paraId="24CBB920" w14:textId="77777777" w:rsidR="00441656" w:rsidRPr="005202FD" w:rsidRDefault="00441656" w:rsidP="00441656">
            <w:p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Désordre sur le lieu de travail</w:t>
            </w:r>
            <w:r w:rsidRPr="005202FD">
              <w:rPr>
                <w:bCs/>
                <w:lang w:val="fr-BE"/>
              </w:rPr>
              <w:t xml:space="preserve"> </w:t>
            </w:r>
          </w:p>
          <w:p w14:paraId="3689D36C" w14:textId="77777777" w:rsidR="00441656" w:rsidRPr="005202FD" w:rsidRDefault="00441656" w:rsidP="00441656">
            <w:pPr>
              <w:pStyle w:val="Paragraphedeliste"/>
              <w:numPr>
                <w:ilvl w:val="0"/>
                <w:numId w:val="16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Matériel </w:t>
            </w:r>
            <w:r>
              <w:rPr>
                <w:bCs/>
                <w:lang w:val="fr-BE"/>
              </w:rPr>
              <w:t>qui traîne</w:t>
            </w:r>
            <w:r w:rsidRPr="005202FD">
              <w:rPr>
                <w:bCs/>
                <w:lang w:val="fr-BE"/>
              </w:rPr>
              <w:t xml:space="preserve"> </w:t>
            </w:r>
          </w:p>
          <w:p w14:paraId="6080A50F" w14:textId="77777777" w:rsidR="00441656" w:rsidRPr="005202FD" w:rsidRDefault="00441656" w:rsidP="00441656">
            <w:pPr>
              <w:pStyle w:val="Paragraphedeliste"/>
              <w:numPr>
                <w:ilvl w:val="0"/>
                <w:numId w:val="16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Passages encombrés</w:t>
            </w:r>
          </w:p>
          <w:p w14:paraId="42490D96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2552" w:type="dxa"/>
          </w:tcPr>
          <w:p w14:paraId="079B04DE" w14:textId="77777777" w:rsidR="00441656" w:rsidRPr="005202FD" w:rsidRDefault="00441656" w:rsidP="00441656">
            <w:pPr>
              <w:pStyle w:val="Paragraphedeliste"/>
              <w:numPr>
                <w:ilvl w:val="0"/>
                <w:numId w:val="13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Chute</w:t>
            </w:r>
          </w:p>
          <w:p w14:paraId="6116762A" w14:textId="77777777" w:rsidR="00441656" w:rsidRPr="005202FD" w:rsidRDefault="00441656" w:rsidP="00441656">
            <w:pPr>
              <w:pStyle w:val="Paragraphedeliste"/>
              <w:numPr>
                <w:ilvl w:val="0"/>
                <w:numId w:val="13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Glissade </w:t>
            </w:r>
          </w:p>
          <w:p w14:paraId="35C007F8" w14:textId="77777777" w:rsidR="00441656" w:rsidRPr="005202FD" w:rsidRDefault="00441656" w:rsidP="00441656">
            <w:pPr>
              <w:pStyle w:val="Paragraphedeliste"/>
              <w:numPr>
                <w:ilvl w:val="0"/>
                <w:numId w:val="10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Trébuchage </w:t>
            </w:r>
          </w:p>
        </w:tc>
        <w:tc>
          <w:tcPr>
            <w:tcW w:w="1559" w:type="dxa"/>
          </w:tcPr>
          <w:p w14:paraId="22FE7F5A" w14:textId="77777777" w:rsidR="00441656" w:rsidRPr="005202FD" w:rsidRDefault="00441656" w:rsidP="00441656">
            <w:pPr>
              <w:rPr>
                <w:bCs/>
                <w:lang w:val="fr-BE"/>
              </w:rPr>
            </w:pPr>
          </w:p>
        </w:tc>
        <w:tc>
          <w:tcPr>
            <w:tcW w:w="4252" w:type="dxa"/>
          </w:tcPr>
          <w:p w14:paraId="18685366" w14:textId="5B63AE68" w:rsidR="00441656" w:rsidRPr="005202FD" w:rsidRDefault="00441656" w:rsidP="00441656">
            <w:pPr>
              <w:pStyle w:val="Paragraphedeliste"/>
              <w:numPr>
                <w:ilvl w:val="0"/>
                <w:numId w:val="13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 xml:space="preserve">Porter </w:t>
            </w:r>
            <w:r>
              <w:rPr>
                <w:bCs/>
                <w:lang w:val="fr-BE"/>
              </w:rPr>
              <w:t xml:space="preserve">des équipements </w:t>
            </w:r>
            <w:r w:rsidRPr="005202FD">
              <w:rPr>
                <w:bCs/>
                <w:lang w:val="fr-BE"/>
              </w:rPr>
              <w:t>de protection individuelle approprié</w:t>
            </w:r>
            <w:r>
              <w:rPr>
                <w:bCs/>
                <w:lang w:val="fr-BE"/>
              </w:rPr>
              <w:t>s</w:t>
            </w:r>
            <w:r w:rsidRPr="005202FD">
              <w:rPr>
                <w:bCs/>
                <w:lang w:val="fr-BE"/>
              </w:rPr>
              <w:t xml:space="preserve"> ; des chaussures de sécurité à semelles antidérapantes </w:t>
            </w:r>
          </w:p>
          <w:p w14:paraId="75543044" w14:textId="1A26A061" w:rsidR="00441656" w:rsidRPr="005202FD" w:rsidRDefault="00441656" w:rsidP="00441656">
            <w:pPr>
              <w:pStyle w:val="Paragraphedeliste"/>
              <w:numPr>
                <w:ilvl w:val="0"/>
                <w:numId w:val="13"/>
              </w:numPr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Fournir</w:t>
            </w:r>
            <w:r w:rsidRPr="005202FD">
              <w:rPr>
                <w:bCs/>
                <w:lang w:val="fr-BE"/>
              </w:rPr>
              <w:t xml:space="preserve"> des instructions et des procédures de sécurité au travailleur intérimaire </w:t>
            </w:r>
          </w:p>
          <w:p w14:paraId="39CC9418" w14:textId="77777777" w:rsidR="00441656" w:rsidRPr="005202FD" w:rsidRDefault="00441656" w:rsidP="00441656">
            <w:pPr>
              <w:pStyle w:val="Paragraphedeliste"/>
              <w:numPr>
                <w:ilvl w:val="0"/>
                <w:numId w:val="13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Garder l</w:t>
            </w:r>
            <w:r>
              <w:rPr>
                <w:bCs/>
                <w:lang w:val="fr-BE"/>
              </w:rPr>
              <w:t>es</w:t>
            </w:r>
            <w:r w:rsidRPr="005202FD">
              <w:rPr>
                <w:bCs/>
                <w:lang w:val="fr-BE"/>
              </w:rPr>
              <w:t xml:space="preserve"> voie</w:t>
            </w:r>
            <w:r>
              <w:rPr>
                <w:bCs/>
                <w:lang w:val="fr-BE"/>
              </w:rPr>
              <w:t>s</w:t>
            </w:r>
            <w:r w:rsidRPr="005202FD">
              <w:rPr>
                <w:bCs/>
                <w:lang w:val="fr-BE"/>
              </w:rPr>
              <w:t xml:space="preserve"> de sortie et d'évacuation dégagée</w:t>
            </w:r>
            <w:r>
              <w:rPr>
                <w:bCs/>
                <w:lang w:val="fr-BE"/>
              </w:rPr>
              <w:t>s</w:t>
            </w:r>
          </w:p>
          <w:p w14:paraId="785A2C11" w14:textId="77777777" w:rsidR="00441656" w:rsidRPr="005202FD" w:rsidRDefault="00441656" w:rsidP="00441656">
            <w:pPr>
              <w:numPr>
                <w:ilvl w:val="0"/>
                <w:numId w:val="13"/>
              </w:numPr>
              <w:rPr>
                <w:bCs/>
                <w:lang w:val="fr-BE"/>
              </w:rPr>
            </w:pPr>
            <w:r w:rsidRPr="005202FD">
              <w:rPr>
                <w:bCs/>
                <w:lang w:val="fr-BE"/>
              </w:rPr>
              <w:t>Veiller à ce que le poste de travail de soudure soit toujours en ordre et ne pas laisser traîner de matériaux</w:t>
            </w:r>
          </w:p>
          <w:p w14:paraId="36596FBA" w14:textId="77777777" w:rsidR="00441656" w:rsidRPr="005202FD" w:rsidRDefault="00441656" w:rsidP="00441656">
            <w:pPr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20200D9C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08B6E7C0" w14:textId="77777777" w:rsidR="00441656" w:rsidRPr="00176FA1" w:rsidRDefault="00441656" w:rsidP="009A1371">
            <w:pPr>
              <w:jc w:val="both"/>
              <w:rPr>
                <w:bCs/>
                <w:lang w:val="fr-BE"/>
              </w:rPr>
            </w:pPr>
          </w:p>
        </w:tc>
      </w:tr>
    </w:tbl>
    <w:bookmarkEnd w:id="1"/>
    <w:p w14:paraId="6505FEE2" w14:textId="77777777" w:rsidR="00441656" w:rsidRPr="00DE06D8" w:rsidRDefault="00441656" w:rsidP="00441656">
      <w:pPr>
        <w:spacing w:after="0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04A706C1" w14:textId="4AE01353" w:rsidR="00C270CB" w:rsidRPr="00441656" w:rsidRDefault="00C270CB" w:rsidP="00441656">
      <w:pPr>
        <w:jc w:val="both"/>
        <w:rPr>
          <w:lang w:val="fr-BE"/>
        </w:rPr>
      </w:pPr>
    </w:p>
    <w:sectPr w:rsidR="00C270CB" w:rsidRPr="00441656" w:rsidSect="00441656">
      <w:headerReference w:type="default" r:id="rId10"/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CDA85" w14:textId="77777777" w:rsidR="00297023" w:rsidRDefault="00297023" w:rsidP="00441656">
      <w:pPr>
        <w:spacing w:after="0" w:line="240" w:lineRule="auto"/>
      </w:pPr>
      <w:r>
        <w:separator/>
      </w:r>
    </w:p>
  </w:endnote>
  <w:endnote w:type="continuationSeparator" w:id="0">
    <w:p w14:paraId="0A97C88B" w14:textId="77777777" w:rsidR="00297023" w:rsidRDefault="00297023" w:rsidP="0044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9A742" w14:textId="77777777" w:rsidR="00297023" w:rsidRDefault="00297023" w:rsidP="00441656">
      <w:pPr>
        <w:spacing w:after="0" w:line="240" w:lineRule="auto"/>
      </w:pPr>
      <w:r>
        <w:separator/>
      </w:r>
    </w:p>
  </w:footnote>
  <w:footnote w:type="continuationSeparator" w:id="0">
    <w:p w14:paraId="5F4F735B" w14:textId="77777777" w:rsidR="00297023" w:rsidRDefault="00297023" w:rsidP="00441656">
      <w:pPr>
        <w:spacing w:after="0" w:line="240" w:lineRule="auto"/>
      </w:pPr>
      <w:r>
        <w:continuationSeparator/>
      </w:r>
    </w:p>
  </w:footnote>
  <w:footnote w:id="1">
    <w:p w14:paraId="432A2553" w14:textId="77777777" w:rsidR="00441656" w:rsidRPr="006B4563" w:rsidRDefault="00441656" w:rsidP="00441656">
      <w:pPr>
        <w:pStyle w:val="Notedebasdepage"/>
      </w:pPr>
      <w:r>
        <w:rPr>
          <w:rStyle w:val="Appelnotedebasdep"/>
        </w:rPr>
        <w:footnoteRef/>
      </w:r>
      <w:r w:rsidRPr="006B4563">
        <w:t xml:space="preserve"> </w:t>
      </w:r>
      <w:r>
        <w:t>Est u</w:t>
      </w:r>
      <w:r w:rsidRPr="0009072E">
        <w:t>ne blessure causée par une surcharge des muscles et/ou des articulations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4975" w14:textId="3071C021" w:rsidR="00441656" w:rsidRDefault="00441656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16E48084" wp14:editId="19CDCDBC">
          <wp:simplePos x="0" y="0"/>
          <wp:positionH relativeFrom="column">
            <wp:posOffset>0</wp:posOffset>
          </wp:positionH>
          <wp:positionV relativeFrom="paragraph">
            <wp:posOffset>-375578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8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6E07"/>
    <w:multiLevelType w:val="hybridMultilevel"/>
    <w:tmpl w:val="7EDE881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74F22"/>
    <w:multiLevelType w:val="hybridMultilevel"/>
    <w:tmpl w:val="33D017B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A0955"/>
    <w:multiLevelType w:val="hybridMultilevel"/>
    <w:tmpl w:val="A798003E"/>
    <w:lvl w:ilvl="0" w:tplc="3BBAB58E">
      <w:start w:val="1"/>
      <w:numFmt w:val="decimal"/>
      <w:pStyle w:val="Titre1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91687"/>
    <w:multiLevelType w:val="hybridMultilevel"/>
    <w:tmpl w:val="CFF6A7E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07FCC"/>
    <w:multiLevelType w:val="hybridMultilevel"/>
    <w:tmpl w:val="4AEEE03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3673C"/>
    <w:multiLevelType w:val="hybridMultilevel"/>
    <w:tmpl w:val="472A9C6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E31C3"/>
    <w:multiLevelType w:val="hybridMultilevel"/>
    <w:tmpl w:val="67D00C4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62D4B"/>
    <w:multiLevelType w:val="hybridMultilevel"/>
    <w:tmpl w:val="7F10060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669BC"/>
    <w:multiLevelType w:val="hybridMultilevel"/>
    <w:tmpl w:val="35FA06E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004D1E"/>
    <w:multiLevelType w:val="hybridMultilevel"/>
    <w:tmpl w:val="790055B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163EA"/>
    <w:multiLevelType w:val="hybridMultilevel"/>
    <w:tmpl w:val="60C6049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274C5"/>
    <w:multiLevelType w:val="hybridMultilevel"/>
    <w:tmpl w:val="A02A17C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EA6AA6"/>
    <w:multiLevelType w:val="hybridMultilevel"/>
    <w:tmpl w:val="98E860A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805343"/>
    <w:multiLevelType w:val="hybridMultilevel"/>
    <w:tmpl w:val="ECB210D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3C2FB3"/>
    <w:multiLevelType w:val="hybridMultilevel"/>
    <w:tmpl w:val="652008B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52E9C"/>
    <w:multiLevelType w:val="multilevel"/>
    <w:tmpl w:val="20000025"/>
    <w:lvl w:ilvl="0">
      <w:start w:val="1"/>
      <w:numFmt w:val="decimal"/>
      <w:pStyle w:val="Kop14"/>
      <w:lvlText w:val="%1"/>
      <w:lvlJc w:val="left"/>
      <w:pPr>
        <w:ind w:left="432" w:hanging="432"/>
      </w:pPr>
    </w:lvl>
    <w:lvl w:ilvl="1">
      <w:start w:val="1"/>
      <w:numFmt w:val="decimal"/>
      <w:pStyle w:val="Kop24"/>
      <w:lvlText w:val="%1.%2"/>
      <w:lvlJc w:val="left"/>
      <w:pPr>
        <w:ind w:left="2703" w:hanging="576"/>
      </w:pPr>
    </w:lvl>
    <w:lvl w:ilvl="2">
      <w:start w:val="1"/>
      <w:numFmt w:val="decimal"/>
      <w:pStyle w:val="Kop34"/>
      <w:lvlText w:val="%1.%2.%3"/>
      <w:lvlJc w:val="left"/>
      <w:pPr>
        <w:ind w:left="720" w:hanging="720"/>
      </w:pPr>
    </w:lvl>
    <w:lvl w:ilvl="3">
      <w:start w:val="1"/>
      <w:numFmt w:val="decimal"/>
      <w:pStyle w:val="Kop44"/>
      <w:lvlText w:val="%1.%2.%3.%4"/>
      <w:lvlJc w:val="left"/>
      <w:pPr>
        <w:ind w:left="864" w:hanging="864"/>
      </w:pPr>
    </w:lvl>
    <w:lvl w:ilvl="4">
      <w:start w:val="1"/>
      <w:numFmt w:val="decimal"/>
      <w:pStyle w:val="Kop54"/>
      <w:lvlText w:val="%1.%2.%3.%4.%5"/>
      <w:lvlJc w:val="left"/>
      <w:pPr>
        <w:ind w:left="1008" w:hanging="1008"/>
      </w:pPr>
    </w:lvl>
    <w:lvl w:ilvl="5">
      <w:start w:val="1"/>
      <w:numFmt w:val="decimal"/>
      <w:pStyle w:val="Kop64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4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4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4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64D66E8"/>
    <w:multiLevelType w:val="hybridMultilevel"/>
    <w:tmpl w:val="49E2E16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56"/>
    <w:rsid w:val="00020302"/>
    <w:rsid w:val="00041888"/>
    <w:rsid w:val="00121690"/>
    <w:rsid w:val="00186296"/>
    <w:rsid w:val="00297023"/>
    <w:rsid w:val="00414B10"/>
    <w:rsid w:val="00441656"/>
    <w:rsid w:val="00604119"/>
    <w:rsid w:val="00C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AD66"/>
  <w15:chartTrackingRefBased/>
  <w15:docId w15:val="{239C073D-4F83-44CD-B551-B6440CA7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56"/>
    <w:rPr>
      <w:lang w:val="nl-BE"/>
    </w:rPr>
  </w:style>
  <w:style w:type="paragraph" w:styleId="Titre1">
    <w:name w:val="heading 1"/>
    <w:basedOn w:val="Kop14"/>
    <w:next w:val="Normal"/>
    <w:link w:val="Titre1Car"/>
    <w:uiPriority w:val="9"/>
    <w:qFormat/>
    <w:rsid w:val="00441656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Titre2">
    <w:name w:val="heading 2"/>
    <w:basedOn w:val="Kop24"/>
    <w:next w:val="Normal"/>
    <w:link w:val="Titre2Car"/>
    <w:uiPriority w:val="9"/>
    <w:unhideWhenUsed/>
    <w:qFormat/>
    <w:rsid w:val="0044165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1656"/>
    <w:rPr>
      <w:rFonts w:eastAsiaTheme="majorEastAsia" w:cstheme="majorBidi"/>
      <w:sz w:val="24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441656"/>
    <w:rPr>
      <w:rFonts w:eastAsiaTheme="majorEastAsia" w:cstheme="majorBidi"/>
      <w:b/>
      <w:sz w:val="24"/>
      <w:szCs w:val="26"/>
      <w:lang w:val="nl-BE"/>
    </w:rPr>
  </w:style>
  <w:style w:type="paragraph" w:styleId="Paragraphedeliste">
    <w:name w:val="List Paragraph"/>
    <w:basedOn w:val="Normal"/>
    <w:uiPriority w:val="34"/>
    <w:qFormat/>
    <w:rsid w:val="004416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41656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16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1656"/>
    <w:rPr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441656"/>
    <w:rPr>
      <w:vertAlign w:val="superscript"/>
    </w:rPr>
  </w:style>
  <w:style w:type="paragraph" w:customStyle="1" w:styleId="Kop14">
    <w:name w:val="Kop 14"/>
    <w:basedOn w:val="Normal"/>
    <w:rsid w:val="00441656"/>
    <w:pPr>
      <w:numPr>
        <w:numId w:val="2"/>
      </w:numPr>
    </w:pPr>
  </w:style>
  <w:style w:type="paragraph" w:customStyle="1" w:styleId="Kop24">
    <w:name w:val="Kop 24"/>
    <w:basedOn w:val="Normal"/>
    <w:rsid w:val="00441656"/>
    <w:pPr>
      <w:numPr>
        <w:ilvl w:val="1"/>
        <w:numId w:val="2"/>
      </w:numPr>
      <w:ind w:left="576"/>
    </w:pPr>
  </w:style>
  <w:style w:type="paragraph" w:customStyle="1" w:styleId="Kop34">
    <w:name w:val="Kop 34"/>
    <w:basedOn w:val="Normal"/>
    <w:rsid w:val="00441656"/>
    <w:pPr>
      <w:numPr>
        <w:ilvl w:val="2"/>
        <w:numId w:val="2"/>
      </w:numPr>
    </w:pPr>
  </w:style>
  <w:style w:type="paragraph" w:customStyle="1" w:styleId="Kop44">
    <w:name w:val="Kop 44"/>
    <w:basedOn w:val="Normal"/>
    <w:rsid w:val="00441656"/>
    <w:pPr>
      <w:numPr>
        <w:ilvl w:val="3"/>
        <w:numId w:val="2"/>
      </w:numPr>
    </w:pPr>
  </w:style>
  <w:style w:type="paragraph" w:customStyle="1" w:styleId="Kop54">
    <w:name w:val="Kop 54"/>
    <w:basedOn w:val="Normal"/>
    <w:rsid w:val="00441656"/>
    <w:pPr>
      <w:numPr>
        <w:ilvl w:val="4"/>
        <w:numId w:val="2"/>
      </w:numPr>
    </w:pPr>
  </w:style>
  <w:style w:type="paragraph" w:customStyle="1" w:styleId="Kop64">
    <w:name w:val="Kop 64"/>
    <w:basedOn w:val="Normal"/>
    <w:rsid w:val="00441656"/>
    <w:pPr>
      <w:numPr>
        <w:ilvl w:val="5"/>
        <w:numId w:val="2"/>
      </w:numPr>
    </w:pPr>
  </w:style>
  <w:style w:type="paragraph" w:customStyle="1" w:styleId="Kop74">
    <w:name w:val="Kop 74"/>
    <w:basedOn w:val="Normal"/>
    <w:rsid w:val="00441656"/>
    <w:pPr>
      <w:numPr>
        <w:ilvl w:val="6"/>
        <w:numId w:val="2"/>
      </w:numPr>
    </w:pPr>
  </w:style>
  <w:style w:type="paragraph" w:customStyle="1" w:styleId="Kop84">
    <w:name w:val="Kop 84"/>
    <w:basedOn w:val="Normal"/>
    <w:rsid w:val="00441656"/>
    <w:pPr>
      <w:numPr>
        <w:ilvl w:val="7"/>
        <w:numId w:val="2"/>
      </w:numPr>
    </w:pPr>
  </w:style>
  <w:style w:type="paragraph" w:customStyle="1" w:styleId="Kop94">
    <w:name w:val="Kop 94"/>
    <w:basedOn w:val="Normal"/>
    <w:rsid w:val="00441656"/>
    <w:pPr>
      <w:numPr>
        <w:ilvl w:val="8"/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656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656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F394F-3F78-423C-84D3-82E41EF3F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C9F97-41E7-4C13-B237-EF181A500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6F932-7B2E-4C64-A4A7-4A8E42BD9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922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Soudeur : risques et prévention des risques </vt:lpstr>
      <vt:lpstr>    </vt:lpstr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5</cp:revision>
  <dcterms:created xsi:type="dcterms:W3CDTF">2020-06-19T07:34:00Z</dcterms:created>
  <dcterms:modified xsi:type="dcterms:W3CDTF">2020-06-19T11:26:00Z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